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240" w:lineRule="auto"/>
        <w:ind w:firstLine="0"/>
        <w:jc w:val="right"/>
        <w:rPr>
          <w:rFonts w:hint="default" w:ascii="楷体_GB2312" w:hAnsi="Times New Roman" w:eastAsia="楷体_GB2312" w:cs="Times New Roman"/>
          <w:b/>
          <w:sz w:val="32"/>
          <w:szCs w:val="32"/>
          <w:lang w:val="en-US" w:eastAsia="zh-CN"/>
        </w:rPr>
      </w:pPr>
      <w:r>
        <w:rPr>
          <w:rFonts w:hint="eastAsia" w:ascii="楷体_GB2312" w:hAnsi="Times New Roman" w:eastAsia="楷体_GB2312" w:cs="Times New Roman"/>
          <w:b/>
          <w:sz w:val="32"/>
          <w:szCs w:val="32"/>
        </w:rPr>
        <w:t>项目编号：</w:t>
      </w:r>
      <w:r>
        <w:rPr>
          <w:rFonts w:hint="eastAsia" w:ascii="楷体_GB2312" w:hAnsi="Times New Roman" w:eastAsia="楷体_GB2312" w:cs="Times New Roman"/>
          <w:b/>
          <w:sz w:val="32"/>
          <w:szCs w:val="32"/>
          <w:lang w:val="en-US" w:eastAsia="zh-CN"/>
        </w:rPr>
        <w:t>LZWL-TZYY-2022-014</w:t>
      </w:r>
    </w:p>
    <w:p>
      <w:pPr>
        <w:jc w:val="center"/>
        <w:rPr>
          <w:rFonts w:ascii="Times New Roman" w:hAnsi="Times New Roman" w:eastAsia="方正小标宋简体" w:cs="Times New Roman"/>
          <w:b/>
          <w:color w:val="auto"/>
          <w:sz w:val="42"/>
          <w:szCs w:val="52"/>
        </w:rPr>
      </w:pPr>
    </w:p>
    <w:p>
      <w:pPr>
        <w:jc w:val="center"/>
        <w:rPr>
          <w:rFonts w:hint="eastAsia" w:ascii="方正小标宋简体" w:hAnsi="方正小标宋简体" w:eastAsia="长城小标宋体" w:cs="方正小标宋简体"/>
          <w:bCs/>
          <w:color w:val="auto"/>
          <w:kern w:val="2"/>
          <w:szCs w:val="22"/>
          <w:lang w:eastAsia="zh-CN"/>
        </w:rPr>
      </w:pPr>
      <w:r>
        <w:rPr>
          <w:rFonts w:hint="eastAsia" w:ascii="长城小标宋体" w:hAnsi="长城小标宋体" w:eastAsia="长城小标宋体"/>
          <w:b/>
          <w:color w:val="auto"/>
          <w:kern w:val="2"/>
          <w:sz w:val="44"/>
          <w:lang w:val="en-US" w:eastAsia="zh-CN"/>
        </w:rPr>
        <w:t>万达学校游泳馆</w:t>
      </w:r>
      <w:r>
        <w:rPr>
          <w:rFonts w:hint="default" w:ascii="长城小标宋体" w:hAnsi="长城小标宋体" w:eastAsia="长城小标宋体"/>
          <w:b/>
          <w:color w:val="auto"/>
          <w:kern w:val="2"/>
          <w:sz w:val="44"/>
        </w:rPr>
        <w:t>竣工结算审计（内审）</w:t>
      </w:r>
      <w:r>
        <w:rPr>
          <w:rFonts w:hint="eastAsia" w:ascii="长城小标宋体" w:hAnsi="长城小标宋体" w:eastAsia="长城小标宋体"/>
          <w:b/>
          <w:color w:val="auto"/>
          <w:kern w:val="2"/>
          <w:sz w:val="44"/>
          <w:lang w:eastAsia="zh-CN"/>
        </w:rPr>
        <w:t>服务采购</w:t>
      </w:r>
    </w:p>
    <w:p>
      <w:pPr>
        <w:pStyle w:val="2"/>
        <w:jc w:val="center"/>
      </w:pPr>
    </w:p>
    <w:p>
      <w:pPr>
        <w:ind w:left="0" w:leftChars="0" w:firstLine="0" w:firstLineChars="0"/>
        <w:rPr>
          <w:color w:val="auto"/>
        </w:rPr>
      </w:pPr>
    </w:p>
    <w:p>
      <w:pPr>
        <w:pStyle w:val="2"/>
      </w:pPr>
    </w:p>
    <w:p>
      <w:pPr>
        <w:widowControl/>
        <w:spacing w:line="360" w:lineRule="auto"/>
        <w:jc w:val="center"/>
        <w:rPr>
          <w:rFonts w:ascii="楷体_GB2312" w:hAnsi="楷体_GB2312" w:eastAsia="楷体_GB2312" w:cs="楷体_GB2312"/>
          <w:color w:val="auto"/>
          <w:sz w:val="72"/>
          <w:szCs w:val="72"/>
        </w:rPr>
      </w:pPr>
      <w:r>
        <w:rPr>
          <w:rFonts w:hint="eastAsia" w:ascii="楷体_GB2312" w:hAnsi="楷体_GB2312" w:eastAsia="楷体_GB2312" w:cs="楷体_GB2312"/>
          <w:color w:val="auto"/>
          <w:sz w:val="72"/>
          <w:szCs w:val="72"/>
        </w:rPr>
        <w:t>采</w:t>
      </w:r>
    </w:p>
    <w:p>
      <w:pPr>
        <w:widowControl/>
        <w:spacing w:line="360" w:lineRule="auto"/>
        <w:jc w:val="center"/>
        <w:rPr>
          <w:rFonts w:ascii="楷体_GB2312" w:hAnsi="楷体_GB2312" w:eastAsia="楷体_GB2312" w:cs="楷体_GB2312"/>
          <w:color w:val="auto"/>
          <w:sz w:val="72"/>
          <w:szCs w:val="72"/>
        </w:rPr>
      </w:pPr>
      <w:r>
        <w:rPr>
          <w:rFonts w:hint="eastAsia" w:ascii="楷体_GB2312" w:hAnsi="楷体_GB2312" w:eastAsia="楷体_GB2312" w:cs="楷体_GB2312"/>
          <w:color w:val="auto"/>
          <w:sz w:val="72"/>
          <w:szCs w:val="72"/>
        </w:rPr>
        <w:t>购</w:t>
      </w:r>
    </w:p>
    <w:p>
      <w:pPr>
        <w:widowControl/>
        <w:spacing w:line="360" w:lineRule="auto"/>
        <w:jc w:val="center"/>
        <w:rPr>
          <w:rFonts w:ascii="楷体_GB2312" w:hAnsi="楷体_GB2312" w:eastAsia="楷体_GB2312" w:cs="楷体_GB2312"/>
          <w:color w:val="auto"/>
          <w:sz w:val="72"/>
          <w:szCs w:val="72"/>
        </w:rPr>
      </w:pPr>
      <w:r>
        <w:rPr>
          <w:rFonts w:hint="eastAsia" w:ascii="楷体_GB2312" w:hAnsi="楷体_GB2312" w:eastAsia="楷体_GB2312" w:cs="楷体_GB2312"/>
          <w:color w:val="auto"/>
          <w:sz w:val="72"/>
          <w:szCs w:val="72"/>
        </w:rPr>
        <w:t>文</w:t>
      </w:r>
    </w:p>
    <w:p>
      <w:pPr>
        <w:spacing w:line="360" w:lineRule="auto"/>
        <w:jc w:val="center"/>
        <w:rPr>
          <w:rFonts w:ascii="楷体_GB2312" w:hAnsi="楷体_GB2312" w:eastAsia="楷体_GB2312" w:cs="楷体_GB2312"/>
          <w:color w:val="auto"/>
          <w:sz w:val="72"/>
          <w:szCs w:val="72"/>
        </w:rPr>
      </w:pPr>
      <w:r>
        <w:rPr>
          <w:rFonts w:hint="eastAsia" w:ascii="楷体_GB2312" w:hAnsi="楷体_GB2312" w:eastAsia="楷体_GB2312" w:cs="楷体_GB2312"/>
          <w:color w:val="auto"/>
          <w:sz w:val="72"/>
          <w:szCs w:val="72"/>
        </w:rPr>
        <w:t>件</w:t>
      </w:r>
    </w:p>
    <w:p>
      <w:pPr>
        <w:pStyle w:val="3"/>
        <w:ind w:firstLine="0" w:firstLineChars="0"/>
      </w:pPr>
    </w:p>
    <w:p>
      <w:pPr>
        <w:pStyle w:val="3"/>
        <w:ind w:firstLine="0" w:firstLineChars="0"/>
      </w:pPr>
    </w:p>
    <w:p>
      <w:pPr>
        <w:ind w:left="0" w:leftChars="0" w:firstLine="0" w:firstLineChars="0"/>
        <w:jc w:val="center"/>
        <w:rPr>
          <w:rFonts w:hint="eastAsia" w:ascii="楷体" w:hAnsi="楷体" w:eastAsia="楷体" w:cs="楷体"/>
          <w:b/>
          <w:color w:val="auto"/>
          <w:sz w:val="32"/>
          <w:szCs w:val="36"/>
        </w:rPr>
      </w:pPr>
      <w:r>
        <w:rPr>
          <w:rFonts w:hint="eastAsia" w:ascii="楷体" w:hAnsi="楷体" w:eastAsia="楷体" w:cs="楷体"/>
          <w:b/>
          <w:color w:val="auto"/>
          <w:sz w:val="32"/>
          <w:szCs w:val="36"/>
        </w:rPr>
        <w:t>中国·四川(广元)</w:t>
      </w:r>
    </w:p>
    <w:p>
      <w:pPr>
        <w:spacing w:line="480" w:lineRule="exact"/>
        <w:jc w:val="center"/>
        <w:rPr>
          <w:rFonts w:hint="eastAsia" w:ascii="楷体" w:hAnsi="楷体" w:eastAsia="楷体" w:cs="楷体"/>
          <w:b/>
          <w:color w:val="auto"/>
          <w:sz w:val="32"/>
          <w:szCs w:val="36"/>
          <w:lang w:eastAsia="zh-CN"/>
        </w:rPr>
      </w:pPr>
    </w:p>
    <w:p>
      <w:pPr>
        <w:spacing w:line="480" w:lineRule="exact"/>
        <w:jc w:val="center"/>
        <w:rPr>
          <w:rFonts w:hint="default" w:ascii="楷体" w:hAnsi="楷体" w:eastAsia="楷体" w:cs="楷体"/>
          <w:b/>
          <w:color w:val="auto"/>
          <w:sz w:val="32"/>
          <w:szCs w:val="36"/>
          <w:lang w:val="en-US"/>
        </w:rPr>
      </w:pPr>
      <w:r>
        <w:rPr>
          <w:rFonts w:hint="eastAsia" w:ascii="楷体" w:hAnsi="楷体" w:eastAsia="楷体" w:cs="楷体"/>
          <w:b/>
          <w:color w:val="auto"/>
          <w:sz w:val="32"/>
          <w:szCs w:val="36"/>
          <w:lang w:val="en-US" w:eastAsia="zh-CN"/>
        </w:rPr>
        <w:t>广元市利州区文旅投资集团有限公司编制</w:t>
      </w:r>
    </w:p>
    <w:p>
      <w:pPr>
        <w:spacing w:line="480" w:lineRule="exact"/>
        <w:jc w:val="center"/>
        <w:rPr>
          <w:rFonts w:hint="eastAsia" w:ascii="楷体" w:hAnsi="楷体" w:eastAsia="楷体" w:cs="楷体"/>
          <w:b/>
          <w:color w:val="auto"/>
          <w:sz w:val="32"/>
          <w:szCs w:val="36"/>
        </w:rPr>
        <w:sectPr>
          <w:footerReference r:id="rId5" w:type="default"/>
          <w:pgSz w:w="11906" w:h="16838"/>
          <w:pgMar w:top="2098" w:right="1417" w:bottom="1984" w:left="1588" w:header="851" w:footer="567" w:gutter="0"/>
          <w:cols w:space="720" w:num="1"/>
          <w:docGrid w:type="lines" w:linePitch="312" w:charSpace="0"/>
        </w:sectPr>
      </w:pPr>
      <w:bookmarkStart w:id="0" w:name="_Hlt101843627"/>
      <w:bookmarkEnd w:id="0"/>
      <w:bookmarkStart w:id="1" w:name="_Hlt101233737"/>
      <w:bookmarkEnd w:id="1"/>
      <w:r>
        <w:rPr>
          <w:rFonts w:hint="eastAsia" w:ascii="楷体" w:hAnsi="楷体" w:eastAsia="楷体" w:cs="楷体"/>
          <w:b/>
          <w:color w:val="auto"/>
          <w:sz w:val="32"/>
          <w:szCs w:val="36"/>
          <w:lang w:val="en-US" w:eastAsia="zh-CN"/>
        </w:rPr>
        <w:t>2022</w:t>
      </w:r>
      <w:r>
        <w:rPr>
          <w:rFonts w:hint="eastAsia" w:ascii="楷体" w:hAnsi="楷体" w:eastAsia="楷体" w:cs="楷体"/>
          <w:b/>
          <w:color w:val="auto"/>
          <w:sz w:val="32"/>
          <w:szCs w:val="36"/>
        </w:rPr>
        <w:t>年</w:t>
      </w:r>
      <w:r>
        <w:rPr>
          <w:rFonts w:hint="eastAsia" w:ascii="楷体" w:hAnsi="楷体" w:eastAsia="楷体" w:cs="楷体"/>
          <w:b/>
          <w:color w:val="auto"/>
          <w:sz w:val="32"/>
          <w:szCs w:val="36"/>
          <w:lang w:val="en-US" w:eastAsia="zh-CN"/>
        </w:rPr>
        <w:t>4</w:t>
      </w:r>
      <w:r>
        <w:rPr>
          <w:rFonts w:hint="eastAsia" w:ascii="楷体" w:hAnsi="楷体" w:eastAsia="楷体" w:cs="楷体"/>
          <w:b/>
          <w:color w:val="auto"/>
          <w:sz w:val="32"/>
          <w:szCs w:val="36"/>
        </w:rPr>
        <w:t>月</w:t>
      </w:r>
    </w:p>
    <w:p>
      <w:pPr>
        <w:pStyle w:val="50"/>
        <w:jc w:val="center"/>
        <w:rPr>
          <w:rFonts w:ascii="Times New Roman" w:hAnsi="Times New Roman" w:cs="Times New Roman"/>
          <w:color w:val="auto"/>
          <w:sz w:val="32"/>
          <w:szCs w:val="32"/>
        </w:rPr>
      </w:pPr>
      <w:r>
        <w:rPr>
          <w:rFonts w:hint="eastAsia" w:ascii="黑体" w:hAnsi="黑体" w:eastAsia="黑体" w:cs="黑体"/>
          <w:b w:val="0"/>
          <w:bCs w:val="0"/>
          <w:color w:val="auto"/>
          <w:sz w:val="44"/>
          <w:lang w:val="zh-CN"/>
        </w:rPr>
        <w:t>目</w:t>
      </w:r>
      <w:r>
        <w:rPr>
          <w:rFonts w:hint="eastAsia" w:ascii="黑体" w:hAnsi="黑体" w:eastAsia="黑体" w:cs="黑体"/>
          <w:b w:val="0"/>
          <w:bCs w:val="0"/>
          <w:color w:val="auto"/>
          <w:sz w:val="44"/>
        </w:rPr>
        <w:t xml:space="preserve">  </w:t>
      </w:r>
      <w:r>
        <w:rPr>
          <w:rFonts w:hint="eastAsia" w:ascii="黑体" w:hAnsi="黑体" w:eastAsia="黑体" w:cs="黑体"/>
          <w:b w:val="0"/>
          <w:bCs w:val="0"/>
          <w:color w:val="auto"/>
          <w:sz w:val="44"/>
          <w:lang w:val="zh-CN"/>
        </w:rPr>
        <w:t>录</w:t>
      </w:r>
    </w:p>
    <w:sdt>
      <w:sdtPr>
        <w:rPr>
          <w:rFonts w:eastAsia="宋体"/>
          <w:sz w:val="21"/>
        </w:rPr>
        <w:id w:val="147478737"/>
        <w:docPartObj>
          <w:docPartGallery w:val="Table of Contents"/>
          <w:docPartUnique/>
        </w:docPartObj>
      </w:sdtPr>
      <w:sdtEndPr>
        <w:rPr>
          <w:rFonts w:hint="eastAsia" w:ascii="仿宋" w:hAnsi="仿宋" w:eastAsia="仿宋" w:cs="仿宋"/>
          <w:color w:val="auto"/>
          <w:sz w:val="28"/>
          <w:szCs w:val="28"/>
        </w:rPr>
      </w:sdtEndPr>
      <w:sdtContent>
        <w:p>
          <w:pPr>
            <w:pStyle w:val="16"/>
            <w:tabs>
              <w:tab w:val="right" w:leader="dot" w:pos="8306"/>
              <w:tab w:val="clear" w:pos="8296"/>
            </w:tabs>
            <w:rPr>
              <w:rFonts w:ascii="仿宋" w:hAnsi="仿宋" w:cs="仿宋"/>
              <w:color w:val="auto"/>
              <w:sz w:val="28"/>
              <w:szCs w:val="28"/>
            </w:rPr>
          </w:pPr>
        </w:p>
        <w:p>
          <w:pPr>
            <w:pStyle w:val="16"/>
            <w:tabs>
              <w:tab w:val="right" w:leader="dot" w:pos="8306"/>
              <w:tab w:val="clear" w:pos="8296"/>
            </w:tabs>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TOC \o "1-1" \h \u </w:instrText>
          </w:r>
          <w:r>
            <w:rPr>
              <w:rFonts w:hint="eastAsia" w:ascii="仿宋" w:hAnsi="仿宋" w:eastAsia="仿宋" w:cs="仿宋"/>
              <w:color w:val="auto"/>
              <w:sz w:val="32"/>
              <w:szCs w:val="32"/>
            </w:rPr>
            <w:fldChar w:fldCharType="separate"/>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"_Toc22636" </w:instrText>
          </w:r>
          <w:r>
            <w:rPr>
              <w:rFonts w:hint="eastAsia" w:ascii="仿宋" w:hAnsi="仿宋" w:eastAsia="仿宋" w:cs="仿宋"/>
              <w:sz w:val="32"/>
              <w:szCs w:val="32"/>
            </w:rPr>
            <w:fldChar w:fldCharType="separate"/>
          </w:r>
          <w:r>
            <w:rPr>
              <w:rFonts w:hint="eastAsia" w:ascii="仿宋" w:hAnsi="仿宋" w:eastAsia="仿宋" w:cs="仿宋"/>
              <w:color w:val="auto"/>
              <w:sz w:val="32"/>
              <w:szCs w:val="32"/>
            </w:rPr>
            <w:t>第一章 邀请公告</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PAGEREF _Toc22636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3</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fldChar w:fldCharType="end"/>
          </w:r>
        </w:p>
        <w:p>
          <w:pPr>
            <w:pStyle w:val="16"/>
            <w:tabs>
              <w:tab w:val="right" w:leader="dot" w:pos="8306"/>
              <w:tab w:val="clear" w:pos="8296"/>
            </w:tabs>
            <w:rPr>
              <w:rFonts w:hint="eastAsia" w:ascii="仿宋" w:hAnsi="仿宋" w:eastAsia="仿宋" w:cs="仿宋"/>
              <w:color w:val="auto"/>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"_Toc23394" </w:instrText>
          </w:r>
          <w:r>
            <w:rPr>
              <w:rFonts w:hint="eastAsia" w:ascii="仿宋" w:hAnsi="仿宋" w:eastAsia="仿宋" w:cs="仿宋"/>
              <w:sz w:val="32"/>
              <w:szCs w:val="32"/>
            </w:rPr>
            <w:fldChar w:fldCharType="separate"/>
          </w:r>
          <w:r>
            <w:rPr>
              <w:rFonts w:hint="eastAsia" w:ascii="仿宋" w:hAnsi="仿宋" w:eastAsia="仿宋" w:cs="仿宋"/>
              <w:color w:val="auto"/>
              <w:sz w:val="32"/>
              <w:szCs w:val="32"/>
            </w:rPr>
            <w:t>第二章 意向供应商须知</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PAGEREF _Toc23394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7</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fldChar w:fldCharType="end"/>
          </w:r>
        </w:p>
        <w:p>
          <w:pPr>
            <w:pStyle w:val="16"/>
            <w:tabs>
              <w:tab w:val="right" w:leader="dot" w:pos="8306"/>
              <w:tab w:val="clear" w:pos="8296"/>
            </w:tabs>
            <w:rPr>
              <w:rFonts w:hint="eastAsia" w:ascii="仿宋" w:hAnsi="仿宋" w:eastAsia="仿宋" w:cs="仿宋"/>
              <w:color w:val="auto"/>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"_Toc28351" </w:instrText>
          </w:r>
          <w:r>
            <w:rPr>
              <w:rFonts w:hint="eastAsia" w:ascii="仿宋" w:hAnsi="仿宋" w:eastAsia="仿宋" w:cs="仿宋"/>
              <w:sz w:val="32"/>
              <w:szCs w:val="32"/>
            </w:rPr>
            <w:fldChar w:fldCharType="separate"/>
          </w:r>
          <w:r>
            <w:rPr>
              <w:rFonts w:hint="eastAsia" w:ascii="仿宋" w:hAnsi="仿宋" w:eastAsia="仿宋" w:cs="仿宋"/>
              <w:color w:val="auto"/>
              <w:sz w:val="32"/>
              <w:szCs w:val="32"/>
            </w:rPr>
            <w:t>第三章 采购项目详细要求</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PAGEREF _Toc28351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12</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fldChar w:fldCharType="end"/>
          </w:r>
        </w:p>
        <w:p>
          <w:pPr>
            <w:pStyle w:val="16"/>
            <w:tabs>
              <w:tab w:val="right" w:leader="dot" w:pos="8306"/>
              <w:tab w:val="clear" w:pos="8296"/>
            </w:tabs>
            <w:rPr>
              <w:rFonts w:hint="eastAsia" w:ascii="仿宋" w:hAnsi="仿宋" w:eastAsia="仿宋" w:cs="仿宋"/>
              <w:color w:val="auto"/>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"_Toc19166" </w:instrText>
          </w:r>
          <w:r>
            <w:rPr>
              <w:rFonts w:hint="eastAsia" w:ascii="仿宋" w:hAnsi="仿宋" w:eastAsia="仿宋" w:cs="仿宋"/>
              <w:sz w:val="32"/>
              <w:szCs w:val="32"/>
            </w:rPr>
            <w:fldChar w:fldCharType="separate"/>
          </w:r>
          <w:r>
            <w:rPr>
              <w:rFonts w:hint="eastAsia" w:ascii="仿宋" w:hAnsi="仿宋" w:eastAsia="仿宋" w:cs="仿宋"/>
              <w:color w:val="auto"/>
              <w:sz w:val="32"/>
              <w:szCs w:val="32"/>
            </w:rPr>
            <w:t>第四章 竞价须知</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PAGEREF _Toc19166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14</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fldChar w:fldCharType="end"/>
          </w:r>
        </w:p>
        <w:p>
          <w:pPr>
            <w:pStyle w:val="16"/>
            <w:tabs>
              <w:tab w:val="right" w:leader="dot" w:pos="8306"/>
              <w:tab w:val="clear" w:pos="8296"/>
            </w:tabs>
            <w:rPr>
              <w:rFonts w:hint="eastAsia" w:ascii="仿宋" w:hAnsi="仿宋" w:eastAsia="仿宋" w:cs="仿宋"/>
              <w:color w:val="auto"/>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"_Toc29455" </w:instrText>
          </w:r>
          <w:r>
            <w:rPr>
              <w:rFonts w:hint="eastAsia" w:ascii="仿宋" w:hAnsi="仿宋" w:eastAsia="仿宋" w:cs="仿宋"/>
              <w:sz w:val="32"/>
              <w:szCs w:val="32"/>
            </w:rPr>
            <w:fldChar w:fldCharType="separate"/>
          </w:r>
          <w:r>
            <w:rPr>
              <w:rFonts w:hint="eastAsia" w:ascii="仿宋" w:hAnsi="仿宋" w:eastAsia="仿宋" w:cs="仿宋"/>
              <w:color w:val="auto"/>
              <w:sz w:val="32"/>
              <w:szCs w:val="32"/>
            </w:rPr>
            <w:t>第五章 竞价及采购成交</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PAGEREF _Toc29455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17</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fldChar w:fldCharType="end"/>
          </w:r>
        </w:p>
        <w:p>
          <w:pPr>
            <w:pStyle w:val="16"/>
            <w:tabs>
              <w:tab w:val="right" w:leader="dot" w:pos="8306"/>
              <w:tab w:val="clear" w:pos="8296"/>
            </w:tabs>
            <w:rPr>
              <w:rFonts w:hint="eastAsia" w:ascii="仿宋" w:hAnsi="仿宋" w:eastAsia="仿宋" w:cs="仿宋"/>
              <w:color w:val="auto"/>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"_Toc1856" </w:instrText>
          </w:r>
          <w:r>
            <w:rPr>
              <w:rFonts w:hint="eastAsia" w:ascii="仿宋" w:hAnsi="仿宋" w:eastAsia="仿宋" w:cs="仿宋"/>
              <w:sz w:val="32"/>
              <w:szCs w:val="32"/>
            </w:rPr>
            <w:fldChar w:fldCharType="separate"/>
          </w:r>
          <w:r>
            <w:rPr>
              <w:rFonts w:hint="eastAsia" w:ascii="仿宋" w:hAnsi="仿宋" w:eastAsia="仿宋" w:cs="仿宋"/>
              <w:color w:val="auto"/>
              <w:sz w:val="32"/>
              <w:szCs w:val="32"/>
            </w:rPr>
            <w:t>第六章 响应文件相关文书格式</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PAGEREF _Toc1856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18</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fldChar w:fldCharType="end"/>
          </w:r>
        </w:p>
        <w:p>
          <w:pPr>
            <w:pStyle w:val="16"/>
            <w:tabs>
              <w:tab w:val="right" w:leader="dot" w:pos="8306"/>
              <w:tab w:val="clear" w:pos="8296"/>
            </w:tabs>
            <w:rPr>
              <w:rFonts w:hint="eastAsia" w:ascii="仿宋" w:hAnsi="仿宋" w:eastAsia="仿宋" w:cs="仿宋"/>
              <w:color w:val="auto"/>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"_Toc7434" </w:instrText>
          </w:r>
          <w:r>
            <w:rPr>
              <w:rFonts w:hint="eastAsia" w:ascii="仿宋" w:hAnsi="仿宋" w:eastAsia="仿宋" w:cs="仿宋"/>
              <w:sz w:val="32"/>
              <w:szCs w:val="32"/>
            </w:rPr>
            <w:fldChar w:fldCharType="separate"/>
          </w:r>
          <w:r>
            <w:rPr>
              <w:rFonts w:hint="eastAsia" w:ascii="仿宋" w:hAnsi="仿宋" w:eastAsia="仿宋" w:cs="仿宋"/>
              <w:color w:val="auto"/>
              <w:sz w:val="32"/>
              <w:szCs w:val="32"/>
            </w:rPr>
            <w:t>第七章 采购合同（</w:t>
          </w:r>
          <w:r>
            <w:rPr>
              <w:rFonts w:hint="eastAsia" w:ascii="仿宋" w:hAnsi="仿宋" w:eastAsia="仿宋" w:cs="仿宋"/>
              <w:color w:val="auto"/>
              <w:sz w:val="32"/>
              <w:szCs w:val="32"/>
              <w:lang w:val="en-US" w:eastAsia="zh-CN"/>
            </w:rPr>
            <w:t>草案</w:t>
          </w:r>
          <w:r>
            <w:rPr>
              <w:rFonts w:hint="eastAsia" w:ascii="仿宋" w:hAnsi="仿宋" w:eastAsia="仿宋" w:cs="仿宋"/>
              <w:color w:val="auto"/>
              <w:sz w:val="32"/>
              <w:szCs w:val="32"/>
            </w:rPr>
            <w:t>）</w:t>
          </w:r>
          <w:r>
            <w:rPr>
              <w:rFonts w:hint="eastAsia" w:ascii="仿宋" w:hAnsi="仿宋" w:eastAsia="仿宋" w:cs="仿宋"/>
              <w:color w:val="auto"/>
              <w:sz w:val="32"/>
              <w:szCs w:val="32"/>
            </w:rPr>
            <w:tab/>
          </w:r>
          <w:r>
            <w:rPr>
              <w:rFonts w:hint="eastAsia" w:ascii="仿宋" w:hAnsi="仿宋" w:eastAsia="仿宋" w:cs="仿宋"/>
              <w:color w:val="auto"/>
              <w:sz w:val="32"/>
              <w:szCs w:val="32"/>
            </w:rPr>
            <w:t>2</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6</w:t>
          </w:r>
        </w:p>
        <w:p>
          <w:pPr>
            <w:pStyle w:val="16"/>
            <w:tabs>
              <w:tab w:val="right" w:leader="dot" w:pos="8306"/>
              <w:tab w:val="clear" w:pos="8296"/>
            </w:tabs>
            <w:rPr>
              <w:rFonts w:ascii="仿宋" w:hAnsi="仿宋" w:cs="仿宋"/>
              <w:color w:val="auto"/>
              <w:sz w:val="28"/>
              <w:szCs w:val="28"/>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auto"/>
              <w:sz w:val="32"/>
              <w:szCs w:val="32"/>
            </w:rPr>
            <w:fldChar w:fldCharType="end"/>
          </w:r>
        </w:p>
      </w:sdtContent>
    </w:sdt>
    <w:p>
      <w:pPr>
        <w:pStyle w:val="5"/>
        <w:keepNext w:val="0"/>
        <w:keepLines w:val="0"/>
        <w:spacing w:before="240" w:after="240" w:line="240" w:lineRule="auto"/>
        <w:ind w:firstLine="0"/>
        <w:jc w:val="center"/>
        <w:rPr>
          <w:rFonts w:ascii="Times New Roman" w:hAnsi="Times New Roman" w:eastAsia="仿宋_GB2312" w:cs="Times New Roman"/>
          <w:bCs w:val="0"/>
          <w:color w:val="auto"/>
          <w:sz w:val="40"/>
          <w:szCs w:val="44"/>
        </w:rPr>
      </w:pPr>
      <w:bookmarkStart w:id="2" w:name="_Toc17396"/>
      <w:bookmarkStart w:id="3" w:name="_Toc14561"/>
      <w:bookmarkStart w:id="4" w:name="_Toc22636"/>
      <w:r>
        <w:rPr>
          <w:rFonts w:hint="eastAsia" w:ascii="Times New Roman" w:hAnsi="Times New Roman" w:eastAsia="仿宋_GB2312" w:cs="Times New Roman"/>
          <w:bCs w:val="0"/>
          <w:color w:val="auto"/>
          <w:sz w:val="40"/>
          <w:szCs w:val="44"/>
        </w:rPr>
        <w:t xml:space="preserve">第一章 </w:t>
      </w:r>
      <w:bookmarkEnd w:id="2"/>
      <w:r>
        <w:rPr>
          <w:rFonts w:hint="eastAsia" w:ascii="Times New Roman" w:hAnsi="Times New Roman" w:eastAsia="仿宋_GB2312" w:cs="Times New Roman"/>
          <w:bCs w:val="0"/>
          <w:color w:val="auto"/>
          <w:sz w:val="40"/>
          <w:szCs w:val="44"/>
        </w:rPr>
        <w:t>邀请公告</w:t>
      </w:r>
      <w:bookmarkEnd w:id="3"/>
      <w:bookmarkEnd w:id="4"/>
    </w:p>
    <w:p>
      <w:pPr>
        <w:pStyle w:val="42"/>
        <w:keepNext w:val="0"/>
        <w:keepLines w:val="0"/>
        <w:pageBreakBefore w:val="0"/>
        <w:widowControl w:val="0"/>
        <w:kinsoku/>
        <w:wordWrap/>
        <w:overflowPunct/>
        <w:topLinePunct w:val="0"/>
        <w:bidi w:val="0"/>
        <w:snapToGrid/>
        <w:spacing w:line="480" w:lineRule="exact"/>
        <w:ind w:firstLine="560" w:firstLineChars="200"/>
        <w:jc w:val="lef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拟对</w:t>
      </w:r>
      <w:r>
        <w:rPr>
          <w:rFonts w:hint="eastAsia" w:ascii="仿宋_GB2312" w:hAnsi="仿宋_GB2312" w:eastAsia="仿宋_GB2312" w:cs="仿宋_GB2312"/>
          <w:color w:val="auto"/>
          <w:sz w:val="28"/>
          <w:szCs w:val="28"/>
          <w:u w:val="single"/>
          <w:lang w:val="en-US" w:eastAsia="zh-CN"/>
        </w:rPr>
        <w:t>万达学校游泳馆</w:t>
      </w:r>
      <w:r>
        <w:rPr>
          <w:rFonts w:hint="eastAsia" w:ascii="仿宋_GB2312" w:hAnsi="仿宋_GB2312" w:eastAsia="仿宋_GB2312" w:cs="仿宋_GB2312"/>
          <w:color w:val="auto"/>
          <w:sz w:val="28"/>
          <w:szCs w:val="28"/>
          <w:u w:val="single"/>
          <w:lang w:eastAsia="zh-CN"/>
        </w:rPr>
        <w:t>竣工结算审计（内审）服务采购</w:t>
      </w:r>
      <w:r>
        <w:rPr>
          <w:rFonts w:hint="eastAsia" w:ascii="仿宋_GB2312" w:hAnsi="仿宋_GB2312" w:eastAsia="仿宋_GB2312" w:cs="仿宋_GB2312"/>
          <w:color w:val="auto"/>
          <w:sz w:val="28"/>
          <w:szCs w:val="28"/>
          <w:u w:val="none"/>
        </w:rPr>
        <w:t>项目</w:t>
      </w:r>
      <w:r>
        <w:rPr>
          <w:rFonts w:hint="eastAsia" w:ascii="仿宋_GB2312" w:hAnsi="仿宋_GB2312" w:eastAsia="仿宋_GB2312" w:cs="仿宋_GB2312"/>
          <w:color w:val="auto"/>
          <w:sz w:val="28"/>
          <w:szCs w:val="28"/>
        </w:rPr>
        <w:t>采用竞价方式进行采购，特邀请符合采购要求的意向供应商参加竞价。</w:t>
      </w:r>
    </w:p>
    <w:p>
      <w:pPr>
        <w:keepNext w:val="0"/>
        <w:keepLines w:val="0"/>
        <w:pageBreakBefore w:val="0"/>
        <w:widowControl w:val="0"/>
        <w:kinsoku/>
        <w:wordWrap/>
        <w:overflowPunct/>
        <w:topLinePunct w:val="0"/>
        <w:bidi w:val="0"/>
        <w:snapToGrid/>
        <w:spacing w:line="480" w:lineRule="exact"/>
        <w:ind w:firstLine="562" w:firstLineChars="200"/>
        <w:textAlignment w:val="auto"/>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一、基本情况</w:t>
      </w:r>
    </w:p>
    <w:p>
      <w:pPr>
        <w:spacing w:line="480" w:lineRule="exac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（一）项目编号：</w:t>
      </w:r>
      <w:r>
        <w:rPr>
          <w:rFonts w:hint="eastAsia" w:ascii="仿宋_GB2312" w:hAnsi="仿宋_GB2312" w:eastAsia="仿宋_GB2312" w:cs="仿宋_GB2312"/>
          <w:color w:val="auto"/>
          <w:sz w:val="28"/>
          <w:szCs w:val="28"/>
          <w:lang w:val="en-US" w:eastAsia="zh-CN"/>
        </w:rPr>
        <w:t>LZWL-TZYY-2022-014</w:t>
      </w:r>
    </w:p>
    <w:p>
      <w:pPr>
        <w:spacing w:line="480" w:lineRule="exact"/>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sz w:val="28"/>
          <w:szCs w:val="28"/>
        </w:rPr>
        <w:t>（二）项目名称：</w:t>
      </w:r>
      <w:r>
        <w:rPr>
          <w:rFonts w:hint="eastAsia" w:ascii="仿宋_GB2312" w:hAnsi="仿宋_GB2312" w:eastAsia="仿宋_GB2312" w:cs="仿宋_GB2312"/>
          <w:color w:val="auto"/>
          <w:sz w:val="28"/>
          <w:szCs w:val="28"/>
          <w:u w:val="none"/>
          <w:lang w:val="en-US" w:eastAsia="zh-CN"/>
        </w:rPr>
        <w:t>万达学校游泳馆</w:t>
      </w:r>
      <w:r>
        <w:rPr>
          <w:rFonts w:hint="eastAsia" w:ascii="仿宋_GB2312" w:hAnsi="仿宋_GB2312" w:eastAsia="仿宋_GB2312" w:cs="仿宋_GB2312"/>
          <w:color w:val="auto"/>
          <w:sz w:val="28"/>
          <w:szCs w:val="28"/>
          <w:u w:val="none"/>
          <w:lang w:eastAsia="zh-CN"/>
        </w:rPr>
        <w:t>竣工结算审计（内审）服务采购</w:t>
      </w:r>
    </w:p>
    <w:p>
      <w:pPr>
        <w:numPr>
          <w:ilvl w:val="0"/>
          <w:numId w:val="2"/>
        </w:numPr>
        <w:spacing w:line="48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采购人：</w:t>
      </w:r>
      <w:r>
        <w:rPr>
          <w:rFonts w:hint="eastAsia" w:ascii="仿宋_GB2312" w:hAnsi="仿宋_GB2312" w:eastAsia="仿宋_GB2312" w:cs="仿宋_GB2312"/>
          <w:color w:val="auto"/>
          <w:sz w:val="28"/>
          <w:szCs w:val="28"/>
          <w:lang w:val="en-US" w:eastAsia="zh-CN"/>
        </w:rPr>
        <w:t>广元市利州区文旅投资集团有限公司</w:t>
      </w:r>
    </w:p>
    <w:p>
      <w:pPr>
        <w:spacing w:line="480" w:lineRule="exact"/>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二、资金情况</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rPr>
        <w:t>预算金额及来源：企业自筹，</w:t>
      </w:r>
      <w:r>
        <w:rPr>
          <w:rFonts w:hint="eastAsia" w:ascii="仿宋_GB2312" w:hAnsi="仿宋_GB2312" w:eastAsia="仿宋_GB2312" w:cs="仿宋_GB2312"/>
          <w:sz w:val="28"/>
          <w:szCs w:val="28"/>
          <w:highlight w:val="none"/>
        </w:rPr>
        <w:t>按《工程造价咨询服务收费标准》(川价发〔2008〕141号)第九项审核竣工结算标准</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基本审计费</w:t>
      </w:r>
      <w:r>
        <w:rPr>
          <w:rFonts w:hint="eastAsia" w:ascii="仿宋_GB2312" w:hAnsi="仿宋_GB2312" w:eastAsia="仿宋_GB2312" w:cs="仿宋_GB2312"/>
          <w:color w:val="auto"/>
          <w:sz w:val="28"/>
          <w:szCs w:val="28"/>
          <w:highlight w:val="none"/>
        </w:rPr>
        <w:t>下浮</w:t>
      </w:r>
      <w:r>
        <w:rPr>
          <w:rFonts w:hint="eastAsia" w:ascii="仿宋_GB2312" w:hAnsi="仿宋_GB2312" w:eastAsia="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%计算</w:t>
      </w:r>
      <w:r>
        <w:rPr>
          <w:rFonts w:hint="eastAsia" w:ascii="仿宋_GB2312" w:hAnsi="仿宋_GB2312" w:eastAsia="仿宋_GB2312" w:cs="仿宋_GB2312"/>
          <w:sz w:val="28"/>
          <w:szCs w:val="28"/>
          <w:highlight w:val="none"/>
        </w:rPr>
        <w:t>（计费基数以审定金额为准）。</w:t>
      </w:r>
    </w:p>
    <w:p>
      <w:pPr>
        <w:spacing w:line="480" w:lineRule="exact"/>
        <w:ind w:firstLine="562" w:firstLineChars="20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三、项目简介</w:t>
      </w:r>
    </w:p>
    <w:p>
      <w:pPr>
        <w:spacing w:line="48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u w:val="none"/>
          <w:lang w:val="en-US" w:eastAsia="zh-CN"/>
        </w:rPr>
        <w:t>万达学校游泳馆所有项目竣工结算审计（内审）</w:t>
      </w:r>
      <w:r>
        <w:rPr>
          <w:rFonts w:hint="eastAsia" w:ascii="仿宋_GB2312" w:hAnsi="仿宋_GB2312" w:eastAsia="仿宋_GB2312" w:cs="仿宋_GB2312"/>
          <w:color w:val="auto"/>
          <w:sz w:val="28"/>
          <w:szCs w:val="28"/>
          <w:u w:val="none"/>
          <w:lang w:eastAsia="zh-CN"/>
        </w:rPr>
        <w:t>具体内容</w:t>
      </w:r>
      <w:r>
        <w:rPr>
          <w:rFonts w:hint="eastAsia" w:ascii="仿宋_GB2312" w:hAnsi="仿宋_GB2312" w:eastAsia="仿宋_GB2312" w:cs="仿宋_GB2312"/>
          <w:color w:val="auto"/>
          <w:sz w:val="28"/>
          <w:szCs w:val="28"/>
        </w:rPr>
        <w:t>详见本采购文件第三章。</w:t>
      </w:r>
    </w:p>
    <w:p>
      <w:pPr>
        <w:spacing w:line="480" w:lineRule="exact"/>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四、公告方式</w:t>
      </w:r>
    </w:p>
    <w:p>
      <w:pPr>
        <w:spacing w:line="46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本次邀请公告在</w:t>
      </w:r>
      <w:r>
        <w:rPr>
          <w:rFonts w:hint="eastAsia" w:ascii="仿宋_GB2312" w:hAnsi="仿宋_GB2312" w:eastAsia="仿宋_GB2312" w:cs="仿宋_GB2312"/>
          <w:color w:val="auto"/>
          <w:sz w:val="28"/>
          <w:szCs w:val="28"/>
          <w:lang w:val="en-US" w:eastAsia="zh-CN"/>
        </w:rPr>
        <w:t>广元市利州区文旅投资集团有限公司官网</w:t>
      </w:r>
      <w:r>
        <w:rPr>
          <w:rFonts w:hint="eastAsia" w:ascii="仿宋_GB2312" w:hAnsi="仿宋_GB2312" w:eastAsia="仿宋_GB2312" w:cs="仿宋_GB2312"/>
          <w:color w:val="auto"/>
          <w:sz w:val="28"/>
          <w:szCs w:val="28"/>
        </w:rPr>
        <w:t>以公告形式发布。</w:t>
      </w:r>
    </w:p>
    <w:p>
      <w:pPr>
        <w:spacing w:line="480" w:lineRule="exact"/>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五、供应商参加本次采购活动应具备的资格条件</w:t>
      </w:r>
    </w:p>
    <w:p>
      <w:pPr>
        <w:pStyle w:val="46"/>
        <w:spacing w:line="460" w:lineRule="exact"/>
        <w:ind w:firstLine="56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（一）具有独立承担民事责任的能力；</w:t>
      </w:r>
    </w:p>
    <w:p>
      <w:pPr>
        <w:tabs>
          <w:tab w:val="left" w:pos="7665"/>
        </w:tabs>
        <w:spacing w:line="46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（二）具有良好的商业信誉和健全的财务会计制度；</w:t>
      </w:r>
    </w:p>
    <w:p>
      <w:pPr>
        <w:tabs>
          <w:tab w:val="left" w:pos="7665"/>
        </w:tabs>
        <w:spacing w:line="46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（三）具有履行合同所必须的设备和专业技术能力；</w:t>
      </w:r>
    </w:p>
    <w:p>
      <w:pPr>
        <w:tabs>
          <w:tab w:val="left" w:pos="7665"/>
        </w:tabs>
        <w:spacing w:line="46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（四）具有依法缴纳税收和社会保障资金的良好记录；</w:t>
      </w:r>
    </w:p>
    <w:p>
      <w:pPr>
        <w:tabs>
          <w:tab w:val="left" w:pos="7665"/>
        </w:tabs>
        <w:spacing w:line="46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（五）参加本次采购活动前三年内，在经营活动中没有重大违法记录；</w:t>
      </w:r>
    </w:p>
    <w:p>
      <w:pPr>
        <w:pStyle w:val="46"/>
        <w:spacing w:line="460" w:lineRule="exact"/>
        <w:ind w:firstLine="56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（六）法律、行政法规规定的其他条件；</w:t>
      </w:r>
    </w:p>
    <w:p>
      <w:pPr>
        <w:pStyle w:val="46"/>
        <w:spacing w:line="460" w:lineRule="exact"/>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（七）采购人根据采购项目提出的特殊条件：</w:t>
      </w:r>
    </w:p>
    <w:p>
      <w:pPr>
        <w:pStyle w:val="46"/>
        <w:spacing w:line="460" w:lineRule="exact"/>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供应商须</w:t>
      </w:r>
      <w:r>
        <w:rPr>
          <w:rFonts w:hint="eastAsia" w:ascii="仿宋_GB2312" w:hAnsi="仿宋_GB2312" w:eastAsia="仿宋_GB2312" w:cs="仿宋_GB2312"/>
          <w:color w:val="auto"/>
          <w:sz w:val="28"/>
          <w:szCs w:val="28"/>
          <w:lang w:val="en-US" w:eastAsia="zh-CN"/>
        </w:rPr>
        <w:t>提供</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公司</w:t>
      </w:r>
      <w:r>
        <w:rPr>
          <w:rFonts w:hint="default" w:ascii="仿宋_GB2312" w:hAnsi="仿宋_GB2312" w:eastAsia="仿宋_GB2312" w:cs="仿宋_GB2312"/>
          <w:color w:val="000000" w:themeColor="text1"/>
          <w:sz w:val="28"/>
          <w:szCs w:val="28"/>
          <w14:textFill>
            <w14:solidFill>
              <w14:schemeClr w14:val="tx1"/>
            </w14:solidFill>
          </w14:textFill>
        </w:rPr>
        <w:t>营业执照</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复印件；</w:t>
      </w:r>
    </w:p>
    <w:p>
      <w:pPr>
        <w:pStyle w:val="46"/>
        <w:spacing w:line="460" w:lineRule="exact"/>
        <w:ind w:firstLine="560"/>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2.供应商须提供两个房建工程审计项目业绩，提供的房建工程审计项目业绩须是政府审计项目；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本项目</w:t>
      </w:r>
      <w:r>
        <w:rPr>
          <w:rFonts w:hint="eastAsia" w:ascii="仿宋_GB2312" w:hAnsi="仿宋_GB2312" w:eastAsia="仿宋_GB2312" w:cs="仿宋_GB2312"/>
          <w:b/>
          <w:color w:val="auto"/>
          <w:sz w:val="28"/>
          <w:szCs w:val="28"/>
        </w:rPr>
        <w:t>不接受</w:t>
      </w:r>
      <w:r>
        <w:rPr>
          <w:rFonts w:hint="eastAsia" w:ascii="仿宋_GB2312" w:hAnsi="仿宋_GB2312" w:eastAsia="仿宋_GB2312" w:cs="仿宋_GB2312"/>
          <w:color w:val="auto"/>
          <w:sz w:val="28"/>
          <w:szCs w:val="28"/>
        </w:rPr>
        <w:t>联合体报名参与。</w:t>
      </w:r>
    </w:p>
    <w:p>
      <w:pPr>
        <w:spacing w:line="480" w:lineRule="exact"/>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六</w:t>
      </w:r>
      <w:r>
        <w:rPr>
          <w:rFonts w:hint="eastAsia" w:ascii="仿宋_GB2312" w:hAnsi="仿宋_GB2312" w:eastAsia="仿宋_GB2312" w:cs="仿宋_GB2312"/>
          <w:b/>
          <w:color w:val="auto"/>
          <w:sz w:val="28"/>
          <w:szCs w:val="28"/>
        </w:rPr>
        <w:t>、采购文件获取</w:t>
      </w:r>
    </w:p>
    <w:p>
      <w:pPr>
        <w:spacing w:line="4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（一）获取时间</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项</w:t>
      </w:r>
      <w:r>
        <w:rPr>
          <w:rFonts w:hint="eastAsia" w:ascii="仿宋_GB2312" w:hAnsi="仿宋_GB2312" w:eastAsia="仿宋_GB2312" w:cs="仿宋_GB2312"/>
          <w:color w:val="auto"/>
          <w:sz w:val="28"/>
          <w:szCs w:val="28"/>
          <w:highlight w:val="none"/>
        </w:rPr>
        <w:t>目公告期内</w:t>
      </w: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0-1</w:t>
      </w: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:00（北京时间，法定节假日除外）。本项目公告期为：</w:t>
      </w:r>
      <w:r>
        <w:rPr>
          <w:rFonts w:hint="eastAsia" w:ascii="仿宋_GB2312" w:hAnsi="仿宋_GB2312" w:eastAsia="仿宋_GB2312" w:cs="仿宋_GB2312"/>
          <w:color w:val="auto"/>
          <w:sz w:val="28"/>
          <w:szCs w:val="28"/>
          <w:highlight w:val="none"/>
          <w:u w:val="none"/>
        </w:rPr>
        <w:t>202</w:t>
      </w:r>
      <w:r>
        <w:rPr>
          <w:rFonts w:hint="eastAsia" w:ascii="仿宋_GB2312" w:hAnsi="仿宋_GB2312" w:eastAsia="仿宋_GB2312" w:cs="仿宋_GB2312"/>
          <w:color w:val="auto"/>
          <w:sz w:val="28"/>
          <w:szCs w:val="28"/>
          <w:highlight w:val="none"/>
          <w:u w:val="none"/>
          <w:lang w:val="en-US" w:eastAsia="zh-CN"/>
        </w:rPr>
        <w:t>2</w:t>
      </w:r>
      <w:r>
        <w:rPr>
          <w:rFonts w:hint="eastAsia" w:ascii="仿宋_GB2312" w:hAnsi="仿宋_GB2312" w:eastAsia="仿宋_GB2312" w:cs="仿宋_GB2312"/>
          <w:color w:val="auto"/>
          <w:sz w:val="28"/>
          <w:szCs w:val="28"/>
          <w:highlight w:val="none"/>
          <w:u w:val="none"/>
        </w:rPr>
        <w:t>年</w:t>
      </w:r>
      <w:r>
        <w:rPr>
          <w:rFonts w:hint="eastAsia" w:ascii="仿宋_GB2312" w:hAnsi="仿宋_GB2312" w:eastAsia="仿宋_GB2312" w:cs="仿宋_GB2312"/>
          <w:color w:val="auto"/>
          <w:sz w:val="28"/>
          <w:szCs w:val="28"/>
          <w:highlight w:val="none"/>
          <w:u w:val="none"/>
          <w:lang w:val="en-US" w:eastAsia="zh-CN"/>
        </w:rPr>
        <w:t>4</w:t>
      </w:r>
      <w:r>
        <w:rPr>
          <w:rFonts w:hint="eastAsia" w:ascii="仿宋_GB2312" w:hAnsi="仿宋_GB2312" w:eastAsia="仿宋_GB2312" w:cs="仿宋_GB2312"/>
          <w:color w:val="auto"/>
          <w:sz w:val="28"/>
          <w:szCs w:val="28"/>
          <w:highlight w:val="none"/>
          <w:u w:val="none"/>
        </w:rPr>
        <w:t>月</w:t>
      </w:r>
      <w:r>
        <w:rPr>
          <w:rFonts w:hint="eastAsia" w:ascii="仿宋_GB2312" w:hAnsi="仿宋_GB2312" w:eastAsia="仿宋_GB2312" w:cs="仿宋_GB2312"/>
          <w:color w:val="auto"/>
          <w:sz w:val="28"/>
          <w:szCs w:val="28"/>
          <w:highlight w:val="none"/>
          <w:u w:val="none"/>
          <w:lang w:val="en-US" w:eastAsia="zh-CN"/>
        </w:rPr>
        <w:t>21</w:t>
      </w:r>
      <w:r>
        <w:rPr>
          <w:rFonts w:hint="eastAsia" w:ascii="仿宋_GB2312" w:hAnsi="仿宋_GB2312" w:eastAsia="仿宋_GB2312" w:cs="仿宋_GB2312"/>
          <w:color w:val="auto"/>
          <w:sz w:val="28"/>
          <w:szCs w:val="28"/>
          <w:highlight w:val="none"/>
          <w:u w:val="none"/>
        </w:rPr>
        <w:t>日至</w:t>
      </w:r>
      <w:r>
        <w:rPr>
          <w:rFonts w:hint="eastAsia" w:ascii="仿宋_GB2312" w:hAnsi="仿宋_GB2312" w:eastAsia="仿宋_GB2312" w:cs="仿宋_GB2312"/>
          <w:color w:val="auto"/>
          <w:sz w:val="28"/>
          <w:szCs w:val="28"/>
          <w:highlight w:val="none"/>
          <w:u w:val="none"/>
          <w:lang w:val="en-US" w:eastAsia="zh-CN"/>
        </w:rPr>
        <w:t>2022</w:t>
      </w:r>
      <w:r>
        <w:rPr>
          <w:rFonts w:hint="eastAsia" w:ascii="仿宋_GB2312" w:hAnsi="仿宋_GB2312" w:eastAsia="仿宋_GB2312" w:cs="仿宋_GB2312"/>
          <w:color w:val="auto"/>
          <w:sz w:val="28"/>
          <w:szCs w:val="28"/>
          <w:highlight w:val="none"/>
          <w:u w:val="none"/>
        </w:rPr>
        <w:t>年</w:t>
      </w:r>
      <w:r>
        <w:rPr>
          <w:rFonts w:hint="eastAsia" w:ascii="仿宋_GB2312" w:hAnsi="仿宋_GB2312" w:eastAsia="仿宋_GB2312" w:cs="仿宋_GB2312"/>
          <w:color w:val="auto"/>
          <w:sz w:val="28"/>
          <w:szCs w:val="28"/>
          <w:highlight w:val="none"/>
          <w:u w:val="none"/>
          <w:lang w:val="en-US" w:eastAsia="zh-CN"/>
        </w:rPr>
        <w:t>4</w:t>
      </w:r>
      <w:r>
        <w:rPr>
          <w:rFonts w:hint="eastAsia" w:ascii="仿宋_GB2312" w:hAnsi="仿宋_GB2312" w:eastAsia="仿宋_GB2312" w:cs="仿宋_GB2312"/>
          <w:color w:val="auto"/>
          <w:sz w:val="28"/>
          <w:szCs w:val="28"/>
          <w:highlight w:val="none"/>
          <w:u w:val="none"/>
        </w:rPr>
        <w:t>月</w:t>
      </w:r>
      <w:r>
        <w:rPr>
          <w:rFonts w:hint="eastAsia" w:ascii="仿宋_GB2312" w:hAnsi="仿宋_GB2312" w:eastAsia="仿宋_GB2312" w:cs="仿宋_GB2312"/>
          <w:color w:val="auto"/>
          <w:sz w:val="28"/>
          <w:szCs w:val="28"/>
          <w:highlight w:val="none"/>
          <w:u w:val="none"/>
          <w:lang w:val="en-US" w:eastAsia="zh-CN"/>
        </w:rPr>
        <w:t>25</w:t>
      </w:r>
      <w:r>
        <w:rPr>
          <w:rFonts w:hint="eastAsia" w:ascii="仿宋_GB2312" w:hAnsi="仿宋_GB2312" w:eastAsia="仿宋_GB2312" w:cs="仿宋_GB2312"/>
          <w:color w:val="auto"/>
          <w:sz w:val="28"/>
          <w:szCs w:val="28"/>
          <w:highlight w:val="none"/>
          <w:u w:val="none"/>
        </w:rPr>
        <w:t>日</w:t>
      </w:r>
      <w:r>
        <w:rPr>
          <w:rFonts w:hint="eastAsia" w:ascii="仿宋_GB2312" w:hAnsi="仿宋_GB2312" w:eastAsia="仿宋_GB2312" w:cs="仿宋_GB2312"/>
          <w:color w:val="auto"/>
          <w:sz w:val="28"/>
          <w:szCs w:val="28"/>
          <w:highlight w:val="none"/>
        </w:rPr>
        <w:t>。</w:t>
      </w:r>
    </w:p>
    <w:p>
      <w:pPr>
        <w:spacing w:line="48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（二）获取方式</w:t>
      </w:r>
    </w:p>
    <w:p>
      <w:pPr>
        <w:spacing w:line="480" w:lineRule="exact"/>
        <w:ind w:firstLine="560" w:firstLineChars="200"/>
        <w:rPr>
          <w:rFonts w:hint="eastAsia" w:eastAsia="仿宋"/>
          <w:lang w:eastAsia="zh-CN"/>
        </w:rPr>
      </w:pPr>
      <w:r>
        <w:rPr>
          <w:rFonts w:hint="eastAsia" w:ascii="仿宋_GB2312" w:hAnsi="仿宋_GB2312" w:eastAsia="仿宋_GB2312" w:cs="仿宋_GB2312"/>
          <w:color w:val="auto"/>
          <w:sz w:val="28"/>
          <w:szCs w:val="28"/>
          <w:highlight w:val="none"/>
        </w:rPr>
        <w:t>凡有意报名参与本项目的供应商，请于采购文件获取时间内在</w:t>
      </w:r>
      <w:r>
        <w:rPr>
          <w:rFonts w:hint="eastAsia" w:ascii="仿宋_GB2312" w:hAnsi="仿宋_GB2312" w:eastAsia="仿宋_GB2312" w:cs="仿宋_GB2312"/>
          <w:color w:val="auto"/>
          <w:sz w:val="28"/>
          <w:szCs w:val="28"/>
          <w:highlight w:val="none"/>
          <w:lang w:val="en-US" w:eastAsia="zh-CN"/>
        </w:rPr>
        <w:t>广元市利州区文旅投资集团管网下载获取，</w:t>
      </w:r>
      <w:r>
        <w:rPr>
          <w:rFonts w:hint="eastAsia" w:ascii="Times New Roman" w:hAnsi="仿宋" w:cs="Times New Roman"/>
          <w:color w:val="auto"/>
          <w:sz w:val="28"/>
          <w:szCs w:val="28"/>
          <w:highlight w:val="none"/>
        </w:rPr>
        <w:t>本项目采购文件</w:t>
      </w:r>
      <w:r>
        <w:rPr>
          <w:rFonts w:hint="eastAsia" w:ascii="Times New Roman" w:hAnsi="仿宋" w:cs="Times New Roman"/>
          <w:color w:val="auto"/>
          <w:sz w:val="28"/>
          <w:szCs w:val="28"/>
          <w:highlight w:val="none"/>
          <w:lang w:val="en-US" w:eastAsia="zh-CN"/>
        </w:rPr>
        <w:t>无</w:t>
      </w:r>
      <w:r>
        <w:rPr>
          <w:rFonts w:hint="eastAsia" w:ascii="Times New Roman" w:hAnsi="仿宋" w:cs="Times New Roman"/>
          <w:color w:val="auto"/>
          <w:sz w:val="28"/>
          <w:szCs w:val="28"/>
          <w:highlight w:val="none"/>
        </w:rPr>
        <w:t>偿获取</w:t>
      </w:r>
      <w:r>
        <w:rPr>
          <w:rFonts w:hint="eastAsia" w:ascii="Times New Roman" w:hAnsi="仿宋" w:cs="Times New Roman"/>
          <w:color w:val="auto"/>
          <w:sz w:val="28"/>
          <w:szCs w:val="28"/>
          <w:highlight w:val="none"/>
          <w:lang w:eastAsia="zh-CN"/>
        </w:rPr>
        <w:t>。</w:t>
      </w:r>
    </w:p>
    <w:p>
      <w:pPr>
        <w:spacing w:line="480" w:lineRule="exact"/>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七</w:t>
      </w:r>
      <w:r>
        <w:rPr>
          <w:rFonts w:hint="eastAsia" w:ascii="仿宋_GB2312" w:hAnsi="仿宋_GB2312" w:eastAsia="仿宋_GB2312" w:cs="仿宋_GB2312"/>
          <w:b/>
          <w:color w:val="auto"/>
          <w:sz w:val="28"/>
          <w:szCs w:val="28"/>
        </w:rPr>
        <w:t>、响应文件</w:t>
      </w:r>
    </w:p>
    <w:p>
      <w:pPr>
        <w:pStyle w:val="2"/>
        <w:spacing w:after="0" w:line="480" w:lineRule="exact"/>
        <w:ind w:firstLine="560" w:firstLineChars="200"/>
        <w:rPr>
          <w:rFonts w:hint="default" w:ascii="仿宋_GB2312" w:hAnsi="仿宋_GB2312" w:eastAsia="仿宋_GB2312" w:cs="仿宋_GB2312"/>
          <w:color w:val="auto"/>
          <w:kern w:val="2"/>
          <w:sz w:val="28"/>
          <w:szCs w:val="28"/>
          <w:lang w:val="en-US" w:eastAsia="zh-CN"/>
        </w:rPr>
      </w:pPr>
      <w:r>
        <w:rPr>
          <w:rFonts w:hint="eastAsia" w:ascii="仿宋_GB2312" w:hAnsi="仿宋_GB2312" w:eastAsia="仿宋_GB2312" w:cs="仿宋_GB2312"/>
          <w:color w:val="auto"/>
          <w:kern w:val="2"/>
          <w:sz w:val="28"/>
          <w:szCs w:val="28"/>
          <w:lang w:eastAsia="zh-CN"/>
        </w:rPr>
        <w:t>（</w:t>
      </w:r>
      <w:r>
        <w:rPr>
          <w:rFonts w:hint="eastAsia" w:ascii="仿宋_GB2312" w:hAnsi="仿宋_GB2312" w:eastAsia="仿宋_GB2312" w:cs="仿宋_GB2312"/>
          <w:color w:val="auto"/>
          <w:kern w:val="2"/>
          <w:sz w:val="28"/>
          <w:szCs w:val="28"/>
          <w:lang w:val="en-US" w:eastAsia="zh-CN"/>
        </w:rPr>
        <w:t>一</w:t>
      </w:r>
      <w:r>
        <w:rPr>
          <w:rFonts w:hint="eastAsia" w:ascii="仿宋_GB2312" w:hAnsi="仿宋_GB2312" w:eastAsia="仿宋_GB2312" w:cs="仿宋_GB2312"/>
          <w:color w:val="auto"/>
          <w:kern w:val="2"/>
          <w:sz w:val="28"/>
          <w:szCs w:val="28"/>
          <w:lang w:eastAsia="zh-CN"/>
        </w:rPr>
        <w:t>）</w:t>
      </w:r>
      <w:r>
        <w:rPr>
          <w:rFonts w:hint="eastAsia" w:ascii="仿宋_GB2312" w:hAnsi="仿宋_GB2312" w:eastAsia="仿宋_GB2312" w:cs="仿宋_GB2312"/>
          <w:color w:val="auto"/>
          <w:kern w:val="2"/>
          <w:sz w:val="28"/>
          <w:szCs w:val="28"/>
          <w:lang w:val="en-US" w:eastAsia="zh-CN"/>
        </w:rPr>
        <w:t>报价表</w:t>
      </w:r>
    </w:p>
    <w:p>
      <w:pPr>
        <w:pStyle w:val="2"/>
        <w:spacing w:after="0" w:line="480" w:lineRule="exact"/>
        <w:ind w:firstLine="560" w:firstLineChars="200"/>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w:t>
      </w:r>
      <w:r>
        <w:rPr>
          <w:rFonts w:hint="eastAsia" w:ascii="仿宋_GB2312" w:hAnsi="仿宋_GB2312" w:eastAsia="仿宋_GB2312" w:cs="仿宋_GB2312"/>
          <w:color w:val="auto"/>
          <w:kern w:val="2"/>
          <w:sz w:val="28"/>
          <w:szCs w:val="28"/>
          <w:lang w:val="en-US" w:eastAsia="zh-CN"/>
        </w:rPr>
        <w:t>二</w:t>
      </w:r>
      <w:r>
        <w:rPr>
          <w:rFonts w:hint="eastAsia" w:ascii="仿宋_GB2312" w:hAnsi="仿宋_GB2312" w:eastAsia="仿宋_GB2312" w:cs="仿宋_GB2312"/>
          <w:color w:val="auto"/>
          <w:kern w:val="2"/>
          <w:sz w:val="28"/>
          <w:szCs w:val="28"/>
        </w:rPr>
        <w:t>）资格性响应及采购承诺声明。</w:t>
      </w:r>
    </w:p>
    <w:p>
      <w:pPr>
        <w:spacing w:line="4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三</w:t>
      </w:r>
      <w:r>
        <w:rPr>
          <w:rFonts w:hint="eastAsia" w:ascii="仿宋_GB2312" w:hAnsi="仿宋_GB2312" w:eastAsia="仿宋_GB2312" w:cs="仿宋_GB2312"/>
          <w:color w:val="auto"/>
          <w:sz w:val="28"/>
          <w:szCs w:val="28"/>
        </w:rPr>
        <w:t>）企业基本情况表（含营业执照）。</w:t>
      </w:r>
    </w:p>
    <w:p>
      <w:pPr>
        <w:pStyle w:val="2"/>
        <w:spacing w:after="0" w:line="480" w:lineRule="exact"/>
        <w:ind w:firstLine="560" w:firstLineChars="200"/>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w:t>
      </w:r>
      <w:r>
        <w:rPr>
          <w:rFonts w:hint="eastAsia" w:ascii="仿宋_GB2312" w:hAnsi="仿宋_GB2312" w:eastAsia="仿宋_GB2312" w:cs="仿宋_GB2312"/>
          <w:color w:val="auto"/>
          <w:kern w:val="2"/>
          <w:sz w:val="28"/>
          <w:szCs w:val="28"/>
          <w:lang w:val="en-US" w:eastAsia="zh-CN"/>
        </w:rPr>
        <w:t>四</w:t>
      </w:r>
      <w:r>
        <w:rPr>
          <w:rFonts w:hint="eastAsia" w:ascii="仿宋_GB2312" w:hAnsi="仿宋_GB2312" w:eastAsia="仿宋_GB2312" w:cs="仿宋_GB2312"/>
          <w:color w:val="auto"/>
          <w:kern w:val="2"/>
          <w:sz w:val="28"/>
          <w:szCs w:val="28"/>
        </w:rPr>
        <w:t>）法定代表人授权书。</w:t>
      </w:r>
    </w:p>
    <w:p>
      <w:pPr>
        <w:spacing w:line="4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）法定代表人、授权委托人身份证</w:t>
      </w:r>
      <w:r>
        <w:rPr>
          <w:rFonts w:hint="eastAsia" w:ascii="仿宋_GB2312" w:hAnsi="仿宋_GB2312" w:eastAsia="仿宋_GB2312" w:cs="仿宋_GB2312"/>
          <w:color w:val="auto"/>
          <w:sz w:val="28"/>
          <w:szCs w:val="28"/>
          <w:lang w:eastAsia="zh-CN"/>
        </w:rPr>
        <w:t>（扫描</w:t>
      </w:r>
      <w:r>
        <w:rPr>
          <w:rFonts w:hint="eastAsia" w:ascii="仿宋_GB2312" w:hAnsi="仿宋_GB2312" w:eastAsia="仿宋_GB2312" w:cs="仿宋_GB2312"/>
          <w:color w:val="auto"/>
          <w:sz w:val="28"/>
          <w:szCs w:val="28"/>
        </w:rPr>
        <w:t>件</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p>
    <w:p>
      <w:pPr>
        <w:spacing w:line="4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六</w:t>
      </w:r>
      <w:r>
        <w:rPr>
          <w:rFonts w:hint="eastAsia" w:ascii="仿宋_GB2312" w:hAnsi="仿宋_GB2312" w:eastAsia="仿宋_GB2312" w:cs="仿宋_GB2312"/>
          <w:color w:val="auto"/>
          <w:sz w:val="28"/>
          <w:szCs w:val="28"/>
        </w:rPr>
        <w:t>）竞价承诺函。</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（七）供应商须提供两个房建工程审计项目业绩的证明材料（相关证明材料须包含审计合同、审计报告）。</w:t>
      </w:r>
    </w:p>
    <w:p>
      <w:pPr>
        <w:pStyle w:val="3"/>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（八）其他材料。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经资格审验合格的意向供应商方可参与竞价</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 xml:space="preserve">                                                                                                                                                                                                                                                                                                                                                          </w:t>
      </w:r>
    </w:p>
    <w:p>
      <w:pPr>
        <w:pStyle w:val="2"/>
        <w:spacing w:after="0" w:line="480" w:lineRule="exact"/>
        <w:ind w:firstLine="562" w:firstLineChars="200"/>
        <w:rPr>
          <w:rFonts w:ascii="仿宋_GB2312" w:hAnsi="仿宋_GB2312" w:eastAsia="仿宋_GB2312" w:cs="仿宋_GB2312"/>
          <w:b/>
          <w:color w:val="auto"/>
          <w:kern w:val="2"/>
          <w:sz w:val="28"/>
          <w:szCs w:val="28"/>
          <w:highlight w:val="none"/>
        </w:rPr>
      </w:pPr>
      <w:r>
        <w:rPr>
          <w:rFonts w:hint="eastAsia" w:ascii="仿宋_GB2312" w:hAnsi="仿宋_GB2312" w:eastAsia="仿宋_GB2312" w:cs="仿宋_GB2312"/>
          <w:b/>
          <w:color w:val="auto"/>
          <w:kern w:val="2"/>
          <w:sz w:val="28"/>
          <w:szCs w:val="28"/>
          <w:highlight w:val="none"/>
          <w:lang w:eastAsia="zh-CN"/>
        </w:rPr>
        <w:t>十</w:t>
      </w:r>
      <w:r>
        <w:rPr>
          <w:rFonts w:hint="eastAsia" w:ascii="仿宋_GB2312" w:hAnsi="仿宋_GB2312" w:eastAsia="仿宋_GB2312" w:cs="仿宋_GB2312"/>
          <w:b/>
          <w:color w:val="auto"/>
          <w:kern w:val="2"/>
          <w:sz w:val="28"/>
          <w:szCs w:val="28"/>
          <w:highlight w:val="none"/>
        </w:rPr>
        <w:t>、项目报名</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在项目公告期内即</w:t>
      </w:r>
      <w:r>
        <w:rPr>
          <w:rFonts w:hint="eastAsia" w:ascii="仿宋_GB2312" w:hAnsi="仿宋_GB2312" w:eastAsia="仿宋_GB2312" w:cs="仿宋_GB2312"/>
          <w:color w:val="auto"/>
          <w:sz w:val="28"/>
          <w:szCs w:val="28"/>
          <w:highlight w:val="none"/>
          <w:u w:val="single"/>
          <w:lang w:val="en-US" w:eastAsia="zh-CN"/>
        </w:rPr>
        <w:t>2022</w:t>
      </w:r>
      <w:r>
        <w:rPr>
          <w:rFonts w:hint="eastAsia" w:ascii="仿宋_GB2312" w:hAnsi="仿宋_GB2312" w:eastAsia="仿宋_GB2312" w:cs="仿宋_GB2312"/>
          <w:color w:val="auto"/>
          <w:sz w:val="28"/>
          <w:szCs w:val="28"/>
          <w:highlight w:val="none"/>
          <w:u w:val="single"/>
        </w:rPr>
        <w:t>年</w:t>
      </w:r>
      <w:r>
        <w:rPr>
          <w:rFonts w:hint="eastAsia" w:ascii="仿宋_GB2312" w:hAnsi="仿宋_GB2312" w:eastAsia="仿宋_GB2312" w:cs="仿宋_GB2312"/>
          <w:color w:val="auto"/>
          <w:sz w:val="28"/>
          <w:szCs w:val="28"/>
          <w:highlight w:val="none"/>
          <w:u w:val="single"/>
          <w:lang w:val="en-US" w:eastAsia="zh-CN"/>
        </w:rPr>
        <w:t>4</w:t>
      </w:r>
      <w:r>
        <w:rPr>
          <w:rFonts w:hint="eastAsia" w:ascii="仿宋_GB2312" w:hAnsi="仿宋_GB2312" w:eastAsia="仿宋_GB2312" w:cs="仿宋_GB2312"/>
          <w:color w:val="auto"/>
          <w:sz w:val="28"/>
          <w:szCs w:val="28"/>
          <w:highlight w:val="none"/>
          <w:u w:val="single"/>
        </w:rPr>
        <w:t>月</w:t>
      </w:r>
      <w:r>
        <w:rPr>
          <w:rFonts w:hint="eastAsia" w:ascii="仿宋_GB2312" w:hAnsi="仿宋_GB2312" w:eastAsia="仿宋_GB2312" w:cs="仿宋_GB2312"/>
          <w:color w:val="auto"/>
          <w:sz w:val="28"/>
          <w:szCs w:val="28"/>
          <w:highlight w:val="none"/>
          <w:u w:val="single"/>
          <w:lang w:val="en-US" w:eastAsia="zh-CN"/>
        </w:rPr>
        <w:t>21</w:t>
      </w:r>
      <w:r>
        <w:rPr>
          <w:rFonts w:hint="eastAsia" w:ascii="仿宋_GB2312" w:hAnsi="仿宋_GB2312" w:eastAsia="仿宋_GB2312" w:cs="仿宋_GB2312"/>
          <w:color w:val="auto"/>
          <w:sz w:val="28"/>
          <w:szCs w:val="28"/>
          <w:highlight w:val="none"/>
          <w:u w:val="single"/>
        </w:rPr>
        <w:t>日至</w:t>
      </w:r>
      <w:r>
        <w:rPr>
          <w:rFonts w:hint="eastAsia" w:ascii="仿宋_GB2312" w:hAnsi="仿宋_GB2312" w:eastAsia="仿宋_GB2312" w:cs="仿宋_GB2312"/>
          <w:color w:val="auto"/>
          <w:sz w:val="28"/>
          <w:szCs w:val="28"/>
          <w:highlight w:val="none"/>
          <w:u w:val="single"/>
          <w:lang w:val="en-US" w:eastAsia="zh-CN"/>
        </w:rPr>
        <w:t>2022</w:t>
      </w:r>
      <w:r>
        <w:rPr>
          <w:rFonts w:hint="eastAsia" w:ascii="仿宋_GB2312" w:hAnsi="仿宋_GB2312" w:eastAsia="仿宋_GB2312" w:cs="仿宋_GB2312"/>
          <w:color w:val="auto"/>
          <w:sz w:val="28"/>
          <w:szCs w:val="28"/>
          <w:highlight w:val="none"/>
          <w:u w:val="single"/>
        </w:rPr>
        <w:t>年</w:t>
      </w:r>
      <w:r>
        <w:rPr>
          <w:rFonts w:hint="eastAsia" w:ascii="仿宋_GB2312" w:hAnsi="仿宋_GB2312" w:eastAsia="仿宋_GB2312" w:cs="仿宋_GB2312"/>
          <w:color w:val="auto"/>
          <w:sz w:val="28"/>
          <w:szCs w:val="28"/>
          <w:highlight w:val="none"/>
          <w:u w:val="single"/>
          <w:lang w:val="en-US" w:eastAsia="zh-CN"/>
        </w:rPr>
        <w:t>4</w:t>
      </w:r>
      <w:r>
        <w:rPr>
          <w:rFonts w:hint="eastAsia" w:ascii="仿宋_GB2312" w:hAnsi="仿宋_GB2312" w:eastAsia="仿宋_GB2312" w:cs="仿宋_GB2312"/>
          <w:color w:val="auto"/>
          <w:sz w:val="28"/>
          <w:szCs w:val="28"/>
          <w:highlight w:val="none"/>
          <w:u w:val="single"/>
        </w:rPr>
        <w:t>月</w:t>
      </w:r>
      <w:r>
        <w:rPr>
          <w:rFonts w:hint="eastAsia" w:ascii="仿宋_GB2312" w:hAnsi="仿宋_GB2312" w:eastAsia="仿宋_GB2312" w:cs="仿宋_GB2312"/>
          <w:color w:val="auto"/>
          <w:sz w:val="28"/>
          <w:szCs w:val="28"/>
          <w:highlight w:val="none"/>
          <w:u w:val="single"/>
          <w:lang w:val="en-US" w:eastAsia="zh-CN"/>
        </w:rPr>
        <w:t>25</w:t>
      </w:r>
      <w:r>
        <w:rPr>
          <w:rFonts w:hint="eastAsia" w:ascii="仿宋_GB2312" w:hAnsi="仿宋_GB2312" w:eastAsia="仿宋_GB2312" w:cs="仿宋_GB2312"/>
          <w:color w:val="auto"/>
          <w:sz w:val="28"/>
          <w:szCs w:val="28"/>
          <w:highlight w:val="none"/>
          <w:u w:val="single"/>
        </w:rPr>
        <w:t>日</w:t>
      </w:r>
      <w:r>
        <w:rPr>
          <w:rFonts w:hint="eastAsia" w:ascii="仿宋_GB2312" w:hAnsi="仿宋_GB2312" w:eastAsia="仿宋_GB2312" w:cs="仿宋_GB2312"/>
          <w:color w:val="auto"/>
          <w:sz w:val="28"/>
          <w:szCs w:val="28"/>
          <w:highlight w:val="none"/>
        </w:rPr>
        <w:t>完成上述程序后，视为对本项目报名成功。</w:t>
      </w:r>
    </w:p>
    <w:p>
      <w:pPr>
        <w:spacing w:line="4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未按照规定的方式、时限购买采购文件、交纳规定数额采购保证金、提交响应文件并通过审核的供应商，不具备竞价资格。</w:t>
      </w:r>
    </w:p>
    <w:p>
      <w:pPr>
        <w:spacing w:line="4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报名成功后，参与采购活动的竞价资格不能转让。</w:t>
      </w:r>
    </w:p>
    <w:p>
      <w:pPr>
        <w:spacing w:line="480" w:lineRule="exact"/>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十</w:t>
      </w:r>
      <w:r>
        <w:rPr>
          <w:rFonts w:hint="eastAsia" w:ascii="仿宋_GB2312" w:hAnsi="仿宋_GB2312" w:eastAsia="仿宋_GB2312" w:cs="仿宋_GB2312"/>
          <w:b/>
          <w:color w:val="auto"/>
          <w:sz w:val="28"/>
          <w:szCs w:val="28"/>
          <w:lang w:eastAsia="zh-CN"/>
        </w:rPr>
        <w:t>一</w:t>
      </w:r>
      <w:r>
        <w:rPr>
          <w:rFonts w:hint="eastAsia" w:ascii="仿宋_GB2312" w:hAnsi="仿宋_GB2312" w:eastAsia="仿宋_GB2312" w:cs="仿宋_GB2312"/>
          <w:b/>
          <w:color w:val="auto"/>
          <w:sz w:val="28"/>
          <w:szCs w:val="28"/>
        </w:rPr>
        <w:t>、竞价开始时间</w:t>
      </w:r>
    </w:p>
    <w:p>
      <w:pPr>
        <w:spacing w:line="4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竞价开始时间：</w:t>
      </w:r>
      <w:r>
        <w:rPr>
          <w:rFonts w:hint="eastAsia" w:ascii="仿宋_GB2312" w:hAnsi="仿宋_GB2312" w:eastAsia="仿宋_GB2312" w:cs="仿宋_GB2312"/>
          <w:color w:val="auto"/>
          <w:sz w:val="28"/>
          <w:szCs w:val="28"/>
          <w:u w:val="single"/>
          <w:lang w:val="en-US" w:eastAsia="zh-CN"/>
        </w:rPr>
        <w:t>2022</w:t>
      </w:r>
      <w:r>
        <w:rPr>
          <w:rFonts w:hint="eastAsia" w:ascii="仿宋_GB2312" w:hAnsi="仿宋_GB2312" w:eastAsia="仿宋_GB2312" w:cs="仿宋_GB2312"/>
          <w:color w:val="auto"/>
          <w:sz w:val="28"/>
          <w:szCs w:val="28"/>
          <w:u w:val="single"/>
        </w:rPr>
        <w:t>年</w:t>
      </w:r>
      <w:r>
        <w:rPr>
          <w:rFonts w:hint="eastAsia" w:ascii="仿宋_GB2312" w:hAnsi="仿宋_GB2312" w:eastAsia="仿宋_GB2312" w:cs="仿宋_GB2312"/>
          <w:color w:val="auto"/>
          <w:sz w:val="28"/>
          <w:szCs w:val="28"/>
          <w:u w:val="single"/>
          <w:lang w:val="en-US" w:eastAsia="zh-CN"/>
        </w:rPr>
        <w:t>4</w:t>
      </w:r>
      <w:r>
        <w:rPr>
          <w:rFonts w:hint="eastAsia" w:ascii="仿宋_GB2312" w:hAnsi="仿宋_GB2312" w:eastAsia="仿宋_GB2312" w:cs="仿宋_GB2312"/>
          <w:color w:val="auto"/>
          <w:sz w:val="28"/>
          <w:szCs w:val="28"/>
          <w:u w:val="single"/>
        </w:rPr>
        <w:t>月</w:t>
      </w:r>
      <w:r>
        <w:rPr>
          <w:rFonts w:hint="eastAsia" w:ascii="仿宋_GB2312" w:hAnsi="仿宋_GB2312" w:eastAsia="仿宋_GB2312" w:cs="仿宋_GB2312"/>
          <w:color w:val="auto"/>
          <w:sz w:val="28"/>
          <w:szCs w:val="28"/>
          <w:highlight w:val="none"/>
          <w:u w:val="single"/>
          <w:lang w:val="en-US" w:eastAsia="zh-CN"/>
        </w:rPr>
        <w:t>29</w:t>
      </w:r>
      <w:r>
        <w:rPr>
          <w:rFonts w:hint="eastAsia" w:ascii="仿宋_GB2312" w:hAnsi="仿宋_GB2312" w:eastAsia="仿宋_GB2312" w:cs="仿宋_GB2312"/>
          <w:color w:val="auto"/>
          <w:sz w:val="28"/>
          <w:szCs w:val="28"/>
          <w:highlight w:val="none"/>
          <w:u w:val="single"/>
        </w:rPr>
        <w:t>日</w:t>
      </w:r>
      <w:r>
        <w:rPr>
          <w:rFonts w:hint="eastAsia" w:ascii="仿宋_GB2312" w:hAnsi="仿宋_GB2312" w:eastAsia="仿宋_GB2312" w:cs="仿宋_GB2312"/>
          <w:color w:val="auto"/>
          <w:sz w:val="28"/>
          <w:szCs w:val="28"/>
          <w:u w:val="single"/>
          <w:lang w:val="en-US" w:eastAsia="zh-CN"/>
        </w:rPr>
        <w:t>9</w:t>
      </w:r>
      <w:r>
        <w:rPr>
          <w:rFonts w:hint="eastAsia" w:ascii="仿宋_GB2312" w:hAnsi="仿宋_GB2312" w:eastAsia="仿宋_GB2312" w:cs="仿宋_GB2312"/>
          <w:color w:val="auto"/>
          <w:sz w:val="28"/>
          <w:szCs w:val="28"/>
          <w:u w:val="single"/>
        </w:rPr>
        <w:t>:00</w:t>
      </w:r>
      <w:r>
        <w:rPr>
          <w:rFonts w:hint="eastAsia" w:ascii="仿宋_GB2312" w:hAnsi="仿宋_GB2312" w:eastAsia="仿宋_GB2312" w:cs="仿宋_GB2312"/>
          <w:color w:val="auto"/>
          <w:sz w:val="28"/>
          <w:szCs w:val="28"/>
        </w:rPr>
        <w:t>。</w:t>
      </w:r>
    </w:p>
    <w:p>
      <w:pPr>
        <w:spacing w:line="480" w:lineRule="exact"/>
        <w:ind w:firstLine="562" w:firstLineChars="2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十</w:t>
      </w:r>
      <w:r>
        <w:rPr>
          <w:rFonts w:hint="eastAsia" w:ascii="仿宋_GB2312" w:hAnsi="仿宋_GB2312" w:eastAsia="仿宋_GB2312" w:cs="仿宋_GB2312"/>
          <w:b/>
          <w:color w:val="auto"/>
          <w:sz w:val="28"/>
          <w:szCs w:val="28"/>
          <w:highlight w:val="none"/>
          <w:lang w:eastAsia="zh-CN"/>
        </w:rPr>
        <w:t>二</w:t>
      </w:r>
      <w:r>
        <w:rPr>
          <w:rFonts w:hint="eastAsia" w:ascii="仿宋_GB2312" w:hAnsi="仿宋_GB2312" w:eastAsia="仿宋_GB2312" w:cs="仿宋_GB2312"/>
          <w:b/>
          <w:color w:val="auto"/>
          <w:sz w:val="28"/>
          <w:szCs w:val="28"/>
          <w:highlight w:val="none"/>
        </w:rPr>
        <w:t>、联系方式</w:t>
      </w:r>
    </w:p>
    <w:p>
      <w:pPr>
        <w:spacing w:line="460" w:lineRule="exact"/>
        <w:ind w:firstLine="562" w:firstLineChars="20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b/>
          <w:sz w:val="28"/>
          <w:szCs w:val="28"/>
          <w:highlight w:val="none"/>
        </w:rPr>
        <w:t>采 购 人</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广元市利州区文旅投资集团有限公司</w:t>
      </w:r>
    </w:p>
    <w:p>
      <w:pPr>
        <w:pStyle w:val="46"/>
        <w:spacing w:line="480" w:lineRule="exact"/>
        <w:ind w:firstLine="56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通讯地址：</w:t>
      </w:r>
      <w:r>
        <w:rPr>
          <w:rFonts w:hint="eastAsia" w:ascii="仿宋_GB2312" w:hAnsi="仿宋_GB2312" w:eastAsia="仿宋_GB2312" w:cs="仿宋_GB2312"/>
          <w:sz w:val="28"/>
          <w:szCs w:val="28"/>
          <w:highlight w:val="none"/>
          <w:lang w:val="en-US" w:eastAsia="zh-CN"/>
        </w:rPr>
        <w:t>南河体育场三楼</w:t>
      </w:r>
    </w:p>
    <w:p>
      <w:pPr>
        <w:pStyle w:val="46"/>
        <w:spacing w:line="48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邮    编：6280</w:t>
      </w:r>
      <w:r>
        <w:rPr>
          <w:rFonts w:hint="eastAsia" w:ascii="仿宋_GB2312" w:hAnsi="仿宋_GB2312" w:eastAsia="仿宋_GB2312" w:cs="仿宋_GB2312"/>
          <w:sz w:val="28"/>
          <w:szCs w:val="28"/>
          <w:highlight w:val="none"/>
          <w:lang w:val="en-US" w:eastAsia="zh-CN"/>
        </w:rPr>
        <w:t>00</w:t>
      </w:r>
      <w:r>
        <w:rPr>
          <w:rFonts w:hint="eastAsia" w:ascii="仿宋_GB2312" w:hAnsi="仿宋_GB2312" w:eastAsia="仿宋_GB2312" w:cs="仿宋_GB2312"/>
          <w:sz w:val="28"/>
          <w:szCs w:val="28"/>
          <w:highlight w:val="none"/>
        </w:rPr>
        <w:t xml:space="preserve"> </w:t>
      </w:r>
    </w:p>
    <w:p>
      <w:pPr>
        <w:pStyle w:val="46"/>
        <w:spacing w:line="480" w:lineRule="exact"/>
        <w:ind w:firstLine="560"/>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联</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系</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val="en-US" w:eastAsia="zh-CN"/>
        </w:rPr>
        <w:t>陈先生</w:t>
      </w:r>
    </w:p>
    <w:p>
      <w:pPr>
        <w:pStyle w:val="46"/>
        <w:spacing w:line="480" w:lineRule="exact"/>
        <w:ind w:firstLine="560"/>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联系电话：</w:t>
      </w:r>
      <w:r>
        <w:rPr>
          <w:rFonts w:hint="eastAsia" w:ascii="仿宋_GB2312" w:hAnsi="仿宋_GB2312" w:eastAsia="仿宋_GB2312" w:cs="仿宋_GB2312"/>
          <w:color w:val="auto"/>
          <w:sz w:val="28"/>
          <w:szCs w:val="28"/>
          <w:highlight w:val="none"/>
          <w:lang w:val="en-US" w:eastAsia="zh-CN"/>
        </w:rPr>
        <w:t>18482110891</w:t>
      </w:r>
    </w:p>
    <w:p>
      <w:pPr>
        <w:pStyle w:val="46"/>
        <w:spacing w:line="460" w:lineRule="exact"/>
        <w:ind w:firstLine="560"/>
        <w:rPr>
          <w:rFonts w:ascii="仿宋_GB2312" w:hAnsi="仿宋_GB2312" w:eastAsia="仿宋_GB2312" w:cs="仿宋_GB2312"/>
          <w:sz w:val="28"/>
          <w:szCs w:val="28"/>
          <w:highlight w:val="yellow"/>
        </w:rPr>
      </w:pPr>
    </w:p>
    <w:p>
      <w:pPr>
        <w:pStyle w:val="5"/>
        <w:keepNext w:val="0"/>
        <w:keepLines w:val="0"/>
        <w:spacing w:before="240" w:after="240" w:line="240" w:lineRule="auto"/>
        <w:ind w:firstLine="0"/>
        <w:jc w:val="center"/>
        <w:rPr>
          <w:rFonts w:ascii="Times New Roman" w:hAnsi="Times New Roman" w:eastAsia="仿宋_GB2312" w:cs="Times New Roman"/>
          <w:bCs w:val="0"/>
          <w:color w:val="auto"/>
          <w:sz w:val="40"/>
          <w:szCs w:val="44"/>
        </w:rPr>
      </w:pPr>
      <w:bookmarkStart w:id="5" w:name="_Toc16879"/>
      <w:bookmarkStart w:id="6" w:name="_Toc16247"/>
      <w:bookmarkStart w:id="7" w:name="_Toc23394"/>
      <w:r>
        <w:rPr>
          <w:rFonts w:ascii="Times New Roman" w:hAnsi="Times New Roman" w:eastAsia="仿宋_GB2312" w:cs="Times New Roman"/>
          <w:bCs w:val="0"/>
          <w:color w:val="auto"/>
          <w:sz w:val="40"/>
          <w:szCs w:val="44"/>
        </w:rPr>
        <w:t>第二章 意向供应商须知</w:t>
      </w:r>
      <w:bookmarkEnd w:id="5"/>
      <w:bookmarkEnd w:id="6"/>
      <w:bookmarkEnd w:id="7"/>
    </w:p>
    <w:tbl>
      <w:tblPr>
        <w:tblStyle w:val="20"/>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2"/>
        <w:gridCol w:w="1357"/>
        <w:gridCol w:w="6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541"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序号</w:t>
            </w:r>
          </w:p>
        </w:tc>
        <w:tc>
          <w:tcPr>
            <w:tcW w:w="796"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条款名称</w:t>
            </w:r>
          </w:p>
        </w:tc>
        <w:tc>
          <w:tcPr>
            <w:tcW w:w="3661"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541"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1</w:t>
            </w:r>
          </w:p>
        </w:tc>
        <w:tc>
          <w:tcPr>
            <w:tcW w:w="796"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采购人</w:t>
            </w:r>
          </w:p>
        </w:tc>
        <w:tc>
          <w:tcPr>
            <w:tcW w:w="3661" w:type="pct"/>
            <w:vAlign w:val="center"/>
          </w:tcPr>
          <w:p>
            <w:pPr>
              <w:pStyle w:val="46"/>
              <w:spacing w:line="480" w:lineRule="exact"/>
              <w:ind w:firstLine="560"/>
              <w:jc w:val="center"/>
              <w:rPr>
                <w:rFonts w:hint="default" w:ascii="仿宋" w:hAnsi="仿宋" w:eastAsia="仿宋" w:cs="仿宋"/>
                <w:color w:val="auto"/>
                <w:kern w:val="0"/>
                <w:szCs w:val="24"/>
                <w:lang w:val="en-US" w:eastAsia="zh-CN"/>
              </w:rPr>
            </w:pPr>
            <w:r>
              <w:rPr>
                <w:rFonts w:hint="eastAsia" w:ascii="仿宋" w:hAnsi="仿宋" w:cs="仿宋"/>
                <w:color w:val="auto"/>
                <w:kern w:val="0"/>
                <w:sz w:val="24"/>
                <w:szCs w:val="24"/>
                <w:lang w:val="en-US" w:eastAsia="zh-CN" w:bidi="ar-SA"/>
              </w:rPr>
              <w:t>广元市利州区文旅投资集团有限公司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jc w:val="center"/>
        </w:trPr>
        <w:tc>
          <w:tcPr>
            <w:tcW w:w="541"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2</w:t>
            </w:r>
          </w:p>
        </w:tc>
        <w:tc>
          <w:tcPr>
            <w:tcW w:w="796"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采购代理机构</w:t>
            </w:r>
          </w:p>
        </w:tc>
        <w:tc>
          <w:tcPr>
            <w:tcW w:w="3661" w:type="pct"/>
            <w:vAlign w:val="center"/>
          </w:tcPr>
          <w:p>
            <w:pPr>
              <w:spacing w:line="420" w:lineRule="exact"/>
              <w:ind w:firstLine="0"/>
              <w:jc w:val="center"/>
              <w:rPr>
                <w:rFonts w:hint="eastAsia" w:ascii="仿宋" w:hAnsi="仿宋" w:eastAsia="仿宋" w:cs="仿宋"/>
                <w:color w:val="auto"/>
                <w:kern w:val="0"/>
                <w:szCs w:val="24"/>
                <w:lang w:eastAsia="zh-CN"/>
              </w:rPr>
            </w:pPr>
            <w:r>
              <w:rPr>
                <w:rFonts w:hint="eastAsia" w:ascii="仿宋" w:hAnsi="仿宋" w:cs="仿宋"/>
                <w:color w:val="auto"/>
                <w:kern w:val="0"/>
                <w:szCs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541"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3</w:t>
            </w:r>
          </w:p>
        </w:tc>
        <w:tc>
          <w:tcPr>
            <w:tcW w:w="796"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项目规模</w:t>
            </w:r>
          </w:p>
        </w:tc>
        <w:tc>
          <w:tcPr>
            <w:tcW w:w="3661"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详见第三章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8" w:hRule="atLeast"/>
          <w:jc w:val="center"/>
        </w:trPr>
        <w:tc>
          <w:tcPr>
            <w:tcW w:w="541"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4</w:t>
            </w:r>
          </w:p>
        </w:tc>
        <w:tc>
          <w:tcPr>
            <w:tcW w:w="796" w:type="pct"/>
            <w:vAlign w:val="center"/>
          </w:tcPr>
          <w:p>
            <w:pPr>
              <w:spacing w:line="420" w:lineRule="exact"/>
              <w:ind w:firstLine="0"/>
              <w:jc w:val="center"/>
              <w:rPr>
                <w:rFonts w:hint="eastAsia" w:ascii="仿宋" w:hAnsi="仿宋" w:cs="仿宋"/>
                <w:color w:val="auto"/>
                <w:kern w:val="0"/>
                <w:szCs w:val="24"/>
              </w:rPr>
            </w:pPr>
            <w:r>
              <w:rPr>
                <w:rFonts w:hint="eastAsia" w:ascii="仿宋" w:hAnsi="仿宋" w:cs="仿宋"/>
                <w:color w:val="auto"/>
                <w:kern w:val="0"/>
                <w:szCs w:val="24"/>
              </w:rPr>
              <w:t>最高限价</w:t>
            </w:r>
          </w:p>
        </w:tc>
        <w:tc>
          <w:tcPr>
            <w:tcW w:w="3661" w:type="pct"/>
            <w:vAlign w:val="center"/>
          </w:tcPr>
          <w:p>
            <w:pPr>
              <w:spacing w:line="48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zh-CN" w:eastAsia="zh-CN"/>
              </w:rPr>
              <w:t>按</w:t>
            </w:r>
            <w:r>
              <w:rPr>
                <w:rFonts w:hint="eastAsia" w:ascii="仿宋" w:hAnsi="仿宋" w:eastAsia="仿宋" w:cs="仿宋"/>
                <w:highlight w:val="none"/>
                <w:lang w:val="en-US" w:eastAsia="zh-CN"/>
              </w:rPr>
              <w:t>《工程造价咨询服务收费标准》(川价发〔2008〕141号)第九项审核竣工结算标准</w:t>
            </w:r>
            <w:r>
              <w:rPr>
                <w:rFonts w:hint="eastAsia" w:ascii="仿宋" w:hAnsi="仿宋" w:cs="仿宋"/>
                <w:highlight w:val="none"/>
                <w:lang w:val="en-US" w:eastAsia="zh-CN"/>
              </w:rPr>
              <w:t>下浮20</w:t>
            </w:r>
            <w:r>
              <w:rPr>
                <w:rFonts w:hint="eastAsia" w:ascii="仿宋" w:hAnsi="仿宋" w:eastAsia="仿宋" w:cs="仿宋"/>
                <w:highlight w:val="none"/>
                <w:lang w:val="en-US" w:eastAsia="zh-CN"/>
              </w:rPr>
              <w:t>%</w:t>
            </w:r>
            <w:r>
              <w:rPr>
                <w:rFonts w:hint="eastAsia" w:ascii="仿宋" w:hAnsi="仿宋" w:cs="仿宋"/>
                <w:highlight w:val="none"/>
                <w:lang w:val="en-US" w:eastAsia="zh-CN"/>
              </w:rPr>
              <w:t>计算</w:t>
            </w:r>
            <w:r>
              <w:rPr>
                <w:rFonts w:hint="eastAsia" w:ascii="仿宋" w:hAnsi="仿宋" w:eastAsia="仿宋" w:cs="仿宋"/>
                <w:highlight w:val="none"/>
                <w:lang w:val="en-US" w:eastAsia="zh-CN"/>
              </w:rPr>
              <w:t>（计费基数以审定金额为准）</w:t>
            </w:r>
            <w:r>
              <w:rPr>
                <w:rFonts w:hint="eastAsia" w:ascii="仿宋" w:hAnsi="仿宋" w:eastAsia="仿宋" w:cs="仿宋"/>
                <w:highlight w:val="none"/>
                <w:lang w:val="zh-CN"/>
              </w:rPr>
              <w:t>。</w:t>
            </w:r>
          </w:p>
          <w:p>
            <w:pPr>
              <w:spacing w:line="420" w:lineRule="exact"/>
              <w:ind w:firstLine="480" w:firstLineChars="200"/>
              <w:jc w:val="left"/>
              <w:rPr>
                <w:rFonts w:hint="eastAsia"/>
              </w:rPr>
            </w:pPr>
            <w:r>
              <w:rPr>
                <w:rFonts w:hint="eastAsia" w:ascii="仿宋" w:hAnsi="仿宋" w:eastAsia="仿宋" w:cs="仿宋"/>
                <w:highlight w:val="none"/>
                <w:lang w:val="zh-CN"/>
              </w:rPr>
              <w:t>超过最高限价的报价无效。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541"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5</w:t>
            </w:r>
          </w:p>
        </w:tc>
        <w:tc>
          <w:tcPr>
            <w:tcW w:w="796"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包数</w:t>
            </w:r>
          </w:p>
        </w:tc>
        <w:tc>
          <w:tcPr>
            <w:tcW w:w="3661"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u w:val="single"/>
              </w:rPr>
              <w:t>1</w:t>
            </w:r>
            <w:r>
              <w:rPr>
                <w:rFonts w:hint="eastAsia" w:ascii="仿宋" w:hAnsi="仿宋" w:cs="仿宋"/>
                <w:color w:val="auto"/>
                <w:kern w:val="0"/>
                <w:szCs w:val="24"/>
              </w:rPr>
              <w:t>个包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541"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6</w:t>
            </w:r>
          </w:p>
        </w:tc>
        <w:tc>
          <w:tcPr>
            <w:tcW w:w="796"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联合体</w:t>
            </w:r>
          </w:p>
        </w:tc>
        <w:tc>
          <w:tcPr>
            <w:tcW w:w="3661"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jc w:val="center"/>
        </w:trPr>
        <w:tc>
          <w:tcPr>
            <w:tcW w:w="541"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7</w:t>
            </w:r>
          </w:p>
        </w:tc>
        <w:tc>
          <w:tcPr>
            <w:tcW w:w="796"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竞选方式</w:t>
            </w:r>
          </w:p>
        </w:tc>
        <w:tc>
          <w:tcPr>
            <w:tcW w:w="3661"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竞价，报价最低者成交（详见第四章）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541"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8</w:t>
            </w:r>
          </w:p>
        </w:tc>
        <w:tc>
          <w:tcPr>
            <w:tcW w:w="796"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响应文件</w:t>
            </w:r>
          </w:p>
        </w:tc>
        <w:tc>
          <w:tcPr>
            <w:tcW w:w="3661" w:type="pct"/>
            <w:vAlign w:val="center"/>
          </w:tcPr>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default"/>
                <w:lang w:val="en-US" w:eastAsia="zh-CN"/>
              </w:rPr>
            </w:pPr>
            <w:r>
              <w:rPr>
                <w:rFonts w:hint="eastAsia"/>
                <w:lang w:val="en-US" w:eastAsia="zh-CN"/>
              </w:rPr>
              <w:t>1.报价表</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lang w:val="en-US" w:eastAsia="zh-CN"/>
              </w:rPr>
            </w:pPr>
            <w:r>
              <w:rPr>
                <w:rFonts w:hint="eastAsia"/>
                <w:lang w:val="en-US" w:eastAsia="zh-CN"/>
              </w:rPr>
              <w:t>2.资格性响应及采购承诺声明；</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lang w:val="en-US" w:eastAsia="zh-CN"/>
              </w:rPr>
            </w:pPr>
            <w:r>
              <w:rPr>
                <w:rFonts w:hint="eastAsia"/>
                <w:lang w:val="en-US" w:eastAsia="zh-CN"/>
              </w:rPr>
              <w:t>3.企业基本情况表（含营业执照）；</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lang w:val="en-US" w:eastAsia="zh-CN"/>
              </w:rPr>
            </w:pPr>
            <w:r>
              <w:rPr>
                <w:rFonts w:hint="eastAsia"/>
                <w:lang w:val="en-US" w:eastAsia="zh-CN"/>
              </w:rPr>
              <w:t>4.法定代表人授权书；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lang w:val="en-US" w:eastAsia="zh-CN"/>
              </w:rPr>
            </w:pPr>
            <w:r>
              <w:rPr>
                <w:rFonts w:hint="eastAsia"/>
                <w:lang w:val="en-US" w:eastAsia="zh-CN"/>
              </w:rPr>
              <w:t>5.法定代表人、授权委托人身份证（扫描件）；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lang w:val="en-US" w:eastAsia="zh-CN"/>
              </w:rPr>
            </w:pPr>
            <w:r>
              <w:rPr>
                <w:rFonts w:hint="eastAsia"/>
                <w:lang w:val="en-US" w:eastAsia="zh-CN"/>
              </w:rPr>
              <w:t>6.竞价承诺函；</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仿宋" w:cs="宋体"/>
                <w:color w:val="auto"/>
                <w:kern w:val="2"/>
                <w:sz w:val="24"/>
                <w:szCs w:val="22"/>
                <w:lang w:val="en-US" w:eastAsia="zh-CN" w:bidi="ar-SA"/>
              </w:rPr>
            </w:pPr>
            <w:r>
              <w:rPr>
                <w:rFonts w:hint="eastAsia" w:cs="宋体"/>
                <w:color w:val="auto"/>
                <w:kern w:val="2"/>
                <w:sz w:val="24"/>
                <w:szCs w:val="22"/>
                <w:lang w:val="en-US" w:eastAsia="zh-CN" w:bidi="ar-SA"/>
              </w:rPr>
              <w:t>7.</w:t>
            </w:r>
            <w:r>
              <w:rPr>
                <w:rFonts w:hint="eastAsia" w:ascii="宋体" w:hAnsi="宋体" w:eastAsia="仿宋" w:cs="宋体"/>
                <w:color w:val="auto"/>
                <w:kern w:val="2"/>
                <w:sz w:val="24"/>
                <w:szCs w:val="22"/>
                <w:lang w:val="en-US" w:eastAsia="zh-CN" w:bidi="ar-SA"/>
              </w:rPr>
              <w:t>供应商须提供两个</w:t>
            </w:r>
            <w:r>
              <w:rPr>
                <w:rFonts w:hint="eastAsia" w:cs="宋体"/>
                <w:color w:val="auto"/>
                <w:kern w:val="2"/>
                <w:sz w:val="24"/>
                <w:szCs w:val="22"/>
                <w:lang w:val="en-US" w:eastAsia="zh-CN" w:bidi="ar-SA"/>
              </w:rPr>
              <w:t>房建</w:t>
            </w:r>
            <w:r>
              <w:rPr>
                <w:rFonts w:hint="eastAsia" w:ascii="宋体" w:hAnsi="宋体" w:eastAsia="仿宋" w:cs="宋体"/>
                <w:color w:val="auto"/>
                <w:kern w:val="2"/>
                <w:sz w:val="24"/>
                <w:szCs w:val="22"/>
                <w:lang w:val="en-US" w:eastAsia="zh-CN" w:bidi="ar-SA"/>
              </w:rPr>
              <w:t>工程审计项目业绩的证明材料；</w:t>
            </w:r>
          </w:p>
          <w:p>
            <w:pPr>
              <w:pStyle w:val="3"/>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default" w:ascii="宋体" w:hAnsi="宋体" w:eastAsia="仿宋" w:cs="宋体"/>
                <w:color w:val="auto"/>
                <w:kern w:val="0"/>
                <w:sz w:val="24"/>
                <w:szCs w:val="21"/>
                <w:lang w:val="en-US" w:eastAsia="zh-CN" w:bidi="ar-SA"/>
              </w:rPr>
            </w:pPr>
            <w:r>
              <w:rPr>
                <w:rFonts w:hint="eastAsia" w:eastAsia="仿宋" w:cs="宋体"/>
                <w:color w:val="auto"/>
                <w:kern w:val="0"/>
                <w:sz w:val="24"/>
                <w:szCs w:val="21"/>
                <w:lang w:val="en-US" w:eastAsia="zh-CN" w:bidi="ar-SA"/>
              </w:rPr>
              <w:t>8.</w:t>
            </w:r>
            <w:r>
              <w:rPr>
                <w:rFonts w:hint="eastAsia" w:ascii="宋体" w:hAnsi="宋体" w:eastAsia="仿宋" w:cs="宋体"/>
                <w:color w:val="auto"/>
                <w:kern w:val="0"/>
                <w:sz w:val="24"/>
                <w:szCs w:val="21"/>
                <w:lang w:val="en-US" w:eastAsia="zh-CN" w:bidi="ar-SA"/>
              </w:rPr>
              <w:t>其他材料。</w:t>
            </w:r>
          </w:p>
          <w:p>
            <w:pPr>
              <w:adjustRightInd w:val="0"/>
              <w:spacing w:line="420" w:lineRule="exact"/>
              <w:ind w:firstLine="480" w:firstLineChars="200"/>
              <w:jc w:val="left"/>
            </w:pPr>
            <w:r>
              <w:rPr>
                <w:rFonts w:hint="eastAsia"/>
              </w:rPr>
              <w:t>注：1.上述响应文件按照第</w:t>
            </w:r>
            <w:r>
              <w:rPr>
                <w:rFonts w:hint="eastAsia"/>
                <w:lang w:val="en-US" w:eastAsia="zh-CN"/>
              </w:rPr>
              <w:t>五</w:t>
            </w:r>
            <w:r>
              <w:rPr>
                <w:rFonts w:hint="eastAsia"/>
              </w:rPr>
              <w:t>章响应文件格式编制。</w:t>
            </w:r>
          </w:p>
          <w:p>
            <w:pPr>
              <w:adjustRightInd w:val="0"/>
              <w:spacing w:line="420" w:lineRule="exact"/>
              <w:ind w:firstLineChars="200"/>
              <w:jc w:val="left"/>
            </w:pPr>
            <w:r>
              <w:rPr>
                <w:rFonts w:hint="eastAsia"/>
              </w:rPr>
              <w:t>2.意向供应商不得对响应文件格式中的内容进行删减或格式顺序的调整，允许添加与本次采购相关的补充证明材料。</w:t>
            </w:r>
          </w:p>
          <w:p>
            <w:pPr>
              <w:adjustRightInd w:val="0"/>
              <w:spacing w:line="420" w:lineRule="exact"/>
              <w:ind w:firstLineChars="200"/>
              <w:jc w:val="left"/>
            </w:pPr>
            <w:r>
              <w:rPr>
                <w:rFonts w:hint="eastAsia"/>
              </w:rPr>
              <w:t>3.响应文件应对采购文件所提出的实质性要求和条件作出实质性响应，并且实质性响应的内容不得互相矛盾。</w:t>
            </w:r>
          </w:p>
          <w:p>
            <w:pPr>
              <w:adjustRightInd w:val="0"/>
              <w:spacing w:line="420" w:lineRule="exact"/>
              <w:ind w:firstLineChars="200"/>
              <w:jc w:val="left"/>
              <w:rPr>
                <w:rFonts w:hint="eastAsia"/>
              </w:rPr>
            </w:pPr>
            <w:r>
              <w:rPr>
                <w:rFonts w:hint="eastAsia"/>
              </w:rPr>
              <w:t>4.所有内容（每页）都必须骑缝加盖单位鲜章，均须逐页编码（从申请文件目录页开始编码）。意向供应商不得对采购文件格式中的内容进行删减（提示信息可删除后填写，如类似（申请人名称））以及改变格式顺序，如有必要，可以增加附页用于解释说明，并作为响应文件的组成部分。</w:t>
            </w:r>
          </w:p>
          <w:p>
            <w:pPr>
              <w:pStyle w:val="2"/>
              <w:rPr>
                <w:rFonts w:hint="default" w:eastAsia="仿宋"/>
                <w:lang w:val="en-US" w:eastAsia="zh-CN"/>
              </w:rPr>
            </w:pPr>
            <w:r>
              <w:rPr>
                <w:rFonts w:hint="eastAsia" w:ascii="仿宋" w:hAnsi="仿宋" w:cs="仿宋"/>
                <w:b/>
                <w:bCs/>
                <w:color w:val="auto"/>
                <w:kern w:val="0"/>
                <w:szCs w:val="24"/>
                <w:u w:val="single"/>
                <w:lang w:val="en-US" w:eastAsia="zh-CN"/>
              </w:rPr>
              <w:t>5.上传的响应文件内容（文字、签章等）必须清晰可识别，否则采购人有权认定意向供应商资格不符，将不予匹配竞价资格。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541"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9</w:t>
            </w:r>
          </w:p>
        </w:tc>
        <w:tc>
          <w:tcPr>
            <w:tcW w:w="796"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采购保证金</w:t>
            </w:r>
          </w:p>
        </w:tc>
        <w:tc>
          <w:tcPr>
            <w:tcW w:w="3661" w:type="pct"/>
            <w:vAlign w:val="center"/>
          </w:tcPr>
          <w:p>
            <w:pPr>
              <w:spacing w:line="420" w:lineRule="exact"/>
              <w:ind w:firstLineChars="200"/>
              <w:rPr>
                <w:rFonts w:hint="eastAsia" w:ascii="仿宋" w:hAnsi="仿宋" w:eastAsia="仿宋" w:cs="仿宋"/>
                <w:color w:val="auto"/>
                <w:kern w:val="0"/>
                <w:szCs w:val="24"/>
                <w:lang w:eastAsia="zh-CN"/>
              </w:rPr>
            </w:pPr>
            <w:r>
              <w:rPr>
                <w:rFonts w:hint="eastAsia" w:ascii="仿宋" w:hAnsi="仿宋" w:cs="仿宋"/>
                <w:color w:val="auto"/>
                <w:kern w:val="0"/>
                <w:szCs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541"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10</w:t>
            </w:r>
          </w:p>
        </w:tc>
        <w:tc>
          <w:tcPr>
            <w:tcW w:w="796"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采购合同签订</w:t>
            </w:r>
          </w:p>
        </w:tc>
        <w:tc>
          <w:tcPr>
            <w:tcW w:w="3661" w:type="pct"/>
            <w:vAlign w:val="center"/>
          </w:tcPr>
          <w:p>
            <w:pPr>
              <w:spacing w:line="420" w:lineRule="exact"/>
              <w:ind w:firstLineChars="200"/>
              <w:rPr>
                <w:rFonts w:ascii="仿宋" w:hAnsi="仿宋" w:cs="仿宋"/>
                <w:color w:val="auto"/>
                <w:kern w:val="0"/>
                <w:szCs w:val="24"/>
              </w:rPr>
            </w:pPr>
            <w:r>
              <w:rPr>
                <w:rFonts w:hint="eastAsia" w:ascii="仿宋" w:hAnsi="仿宋" w:cs="仿宋"/>
                <w:color w:val="auto"/>
                <w:kern w:val="0"/>
                <w:szCs w:val="24"/>
              </w:rPr>
              <w:t>1.成交供应商在收到</w:t>
            </w:r>
            <w:r>
              <w:rPr>
                <w:rFonts w:hint="eastAsia" w:ascii="仿宋" w:hAnsi="仿宋" w:cs="仿宋"/>
                <w:color w:val="auto"/>
                <w:kern w:val="0"/>
                <w:szCs w:val="24"/>
                <w:lang w:val="en-US" w:eastAsia="zh-CN"/>
              </w:rPr>
              <w:t>广元市利州区文旅投资集团有限公司</w:t>
            </w:r>
            <w:r>
              <w:rPr>
                <w:rFonts w:hint="eastAsia" w:ascii="仿宋" w:hAnsi="仿宋" w:cs="仿宋"/>
                <w:color w:val="auto"/>
                <w:kern w:val="0"/>
                <w:szCs w:val="24"/>
              </w:rPr>
              <w:t>发出的《成交通知书》后，应在5个工作日内按要求与采购人签订采购合同。因成交供应商的原因逾期未与采购人签订采购合同的，将视为放弃成交，取消其成交资格并追究违约责任。采购人无正当理由拒绝在规定时间内签订采购合同的，成交供应商可向采购人所在地人民法院提起诉讼。</w:t>
            </w:r>
          </w:p>
          <w:p>
            <w:pPr>
              <w:spacing w:line="420" w:lineRule="exact"/>
              <w:ind w:firstLineChars="200"/>
              <w:rPr>
                <w:rFonts w:ascii="仿宋" w:hAnsi="仿宋" w:cs="仿宋"/>
                <w:color w:val="auto"/>
                <w:kern w:val="0"/>
                <w:szCs w:val="24"/>
              </w:rPr>
            </w:pPr>
            <w:r>
              <w:rPr>
                <w:rFonts w:hint="eastAsia" w:ascii="仿宋" w:hAnsi="仿宋" w:cs="仿宋"/>
                <w:color w:val="auto"/>
                <w:kern w:val="0"/>
                <w:szCs w:val="24"/>
              </w:rPr>
              <w:t>2.采购人和成交供应商除应当对规定的采购合同必备条款进行约定以外，还应当对供应商提供服务的名称、数量、单价和总价、履约时间和地点、验收时间和地点、验收标准和清单、付款时间和方式以及其他实质性内容事项进行明确约定，并将这些约定内容事项所涉及合同当事人之间的权利义务在采购合同中充分体现。采购人和供应商之间约定的权利义务，不得改变采购文件的规定要求和参与申请采购项目作出的承诺范围。</w:t>
            </w:r>
          </w:p>
          <w:p>
            <w:pPr>
              <w:spacing w:line="420" w:lineRule="exact"/>
              <w:ind w:firstLineChars="200"/>
              <w:rPr>
                <w:rFonts w:ascii="仿宋" w:hAnsi="仿宋" w:cs="仿宋"/>
                <w:color w:val="auto"/>
                <w:kern w:val="0"/>
                <w:szCs w:val="24"/>
              </w:rPr>
            </w:pPr>
            <w:r>
              <w:rPr>
                <w:rFonts w:hint="eastAsia" w:ascii="仿宋" w:hAnsi="仿宋" w:cs="仿宋"/>
                <w:color w:val="auto"/>
                <w:kern w:val="0"/>
                <w:szCs w:val="24"/>
              </w:rPr>
              <w:t>3.采购人不得向供应商提出任何不合理的要求作为签订合同的条件，不得与供应商私下订立背离合同实质性内容的任何协议，所签订的合同不得对采购文件作实质性修改。</w:t>
            </w:r>
          </w:p>
          <w:p>
            <w:pPr>
              <w:spacing w:line="420" w:lineRule="exact"/>
              <w:ind w:firstLineChars="200"/>
              <w:rPr>
                <w:rFonts w:ascii="仿宋" w:hAnsi="仿宋" w:cs="仿宋"/>
                <w:color w:val="auto"/>
                <w:kern w:val="0"/>
                <w:szCs w:val="24"/>
              </w:rPr>
            </w:pPr>
            <w:r>
              <w:rPr>
                <w:rFonts w:hint="eastAsia" w:ascii="仿宋" w:hAnsi="仿宋" w:cs="仿宋"/>
                <w:color w:val="auto"/>
                <w:kern w:val="0"/>
                <w:szCs w:val="24"/>
              </w:rPr>
              <w:t>4.供应商因不可抗力原因不能履行采购合同或放弃成交的，采购人可以与排在成交供应商之后第一位的候选供应商签订采购合同，以此类推。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541"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11</w:t>
            </w:r>
          </w:p>
        </w:tc>
        <w:tc>
          <w:tcPr>
            <w:tcW w:w="796" w:type="pct"/>
            <w:vAlign w:val="center"/>
          </w:tcPr>
          <w:p>
            <w:pPr>
              <w:spacing w:line="420" w:lineRule="exact"/>
              <w:ind w:firstLine="0"/>
              <w:jc w:val="center"/>
              <w:rPr>
                <w:rFonts w:hint="eastAsia" w:ascii="仿宋" w:hAnsi="仿宋" w:eastAsia="仿宋" w:cs="仿宋"/>
                <w:color w:val="auto"/>
                <w:kern w:val="0"/>
                <w:szCs w:val="24"/>
                <w:lang w:val="en-US" w:eastAsia="zh-CN"/>
              </w:rPr>
            </w:pPr>
            <w:r>
              <w:rPr>
                <w:rFonts w:hint="eastAsia" w:ascii="仿宋" w:hAnsi="仿宋" w:cs="仿宋"/>
                <w:color w:val="auto"/>
                <w:kern w:val="0"/>
                <w:szCs w:val="24"/>
              </w:rPr>
              <w:t>采购</w:t>
            </w:r>
            <w:r>
              <w:rPr>
                <w:rFonts w:hint="eastAsia" w:ascii="仿宋" w:hAnsi="仿宋" w:cs="仿宋"/>
                <w:color w:val="auto"/>
                <w:kern w:val="0"/>
                <w:szCs w:val="24"/>
                <w:lang w:val="en-US" w:eastAsia="zh-CN"/>
              </w:rPr>
              <w:t>情况</w:t>
            </w:r>
          </w:p>
        </w:tc>
        <w:tc>
          <w:tcPr>
            <w:tcW w:w="3661" w:type="pct"/>
            <w:vAlign w:val="center"/>
          </w:tcPr>
          <w:p>
            <w:pPr>
              <w:pStyle w:val="2"/>
              <w:numPr>
                <w:ilvl w:val="0"/>
                <w:numId w:val="3"/>
              </w:numPr>
              <w:spacing w:after="0" w:line="420" w:lineRule="exact"/>
              <w:ind w:firstLineChars="200"/>
              <w:rPr>
                <w:rFonts w:hint="eastAsia" w:ascii="仿宋" w:hAnsi="仿宋" w:cs="仿宋"/>
                <w:color w:val="auto"/>
                <w:szCs w:val="24"/>
              </w:rPr>
            </w:pPr>
            <w:r>
              <w:rPr>
                <w:rFonts w:hint="eastAsia" w:ascii="仿宋" w:hAnsi="仿宋" w:cs="仿宋"/>
                <w:color w:val="auto"/>
                <w:szCs w:val="24"/>
              </w:rPr>
              <w:t>意向供应商确认为成交供应商且未违约的，</w:t>
            </w:r>
            <w:r>
              <w:rPr>
                <w:rFonts w:hint="eastAsia" w:ascii="仿宋" w:hAnsi="仿宋" w:cs="仿宋"/>
                <w:color w:val="auto"/>
                <w:szCs w:val="24"/>
                <w:lang w:val="en-US" w:eastAsia="zh-CN"/>
              </w:rPr>
              <w:t>广元市利州区文旅投资集团有限公司</w:t>
            </w:r>
            <w:r>
              <w:rPr>
                <w:rFonts w:hint="eastAsia" w:ascii="仿宋" w:hAnsi="仿宋" w:cs="仿宋"/>
                <w:color w:val="auto"/>
                <w:szCs w:val="24"/>
              </w:rPr>
              <w:t>在发布采购项目《成交确认公告》后5个工作日内</w:t>
            </w:r>
          </w:p>
          <w:p>
            <w:pPr>
              <w:widowControl/>
              <w:shd w:val="clear" w:color="auto" w:fill="FFFFFF"/>
              <w:spacing w:line="420" w:lineRule="exact"/>
              <w:ind w:firstLineChars="200"/>
              <w:jc w:val="left"/>
              <w:rPr>
                <w:rFonts w:ascii="仿宋" w:hAnsi="仿宋" w:cs="仿宋"/>
                <w:color w:val="auto"/>
                <w:kern w:val="0"/>
                <w:szCs w:val="24"/>
              </w:rPr>
            </w:pPr>
            <w:r>
              <w:rPr>
                <w:rFonts w:hint="eastAsia" w:ascii="仿宋" w:hAnsi="仿宋" w:cs="仿宋"/>
                <w:color w:val="auto"/>
                <w:kern w:val="0"/>
                <w:szCs w:val="24"/>
                <w:lang w:val="en-US" w:eastAsia="zh-CN"/>
              </w:rPr>
              <w:t>2</w:t>
            </w:r>
            <w:r>
              <w:rPr>
                <w:rFonts w:hint="eastAsia" w:ascii="仿宋" w:hAnsi="仿宋" w:cs="仿宋"/>
                <w:color w:val="auto"/>
                <w:kern w:val="0"/>
                <w:szCs w:val="24"/>
              </w:rPr>
              <w:t>.采购</w:t>
            </w:r>
            <w:r>
              <w:rPr>
                <w:rFonts w:hint="eastAsia" w:ascii="仿宋" w:hAnsi="仿宋" w:cs="仿宋"/>
                <w:color w:val="auto"/>
                <w:kern w:val="0"/>
                <w:szCs w:val="24"/>
                <w:lang w:val="en-US" w:eastAsia="zh-CN"/>
              </w:rPr>
              <w:t>取消</w:t>
            </w:r>
            <w:r>
              <w:rPr>
                <w:rFonts w:hint="eastAsia" w:ascii="仿宋" w:hAnsi="仿宋" w:cs="仿宋"/>
                <w:color w:val="auto"/>
                <w:kern w:val="0"/>
                <w:szCs w:val="24"/>
              </w:rPr>
              <w:t>情形：</w:t>
            </w:r>
          </w:p>
          <w:p>
            <w:pPr>
              <w:widowControl/>
              <w:shd w:val="clear" w:color="auto" w:fill="FFFFFF"/>
              <w:spacing w:line="420" w:lineRule="exact"/>
              <w:ind w:firstLineChars="200"/>
              <w:jc w:val="left"/>
              <w:rPr>
                <w:rFonts w:ascii="仿宋" w:hAnsi="仿宋" w:cs="仿宋"/>
                <w:color w:val="auto"/>
                <w:kern w:val="0"/>
                <w:szCs w:val="24"/>
              </w:rPr>
            </w:pPr>
            <w:r>
              <w:rPr>
                <w:rFonts w:hint="eastAsia" w:ascii="仿宋" w:hAnsi="仿宋" w:cs="仿宋"/>
                <w:color w:val="auto"/>
                <w:kern w:val="0"/>
                <w:szCs w:val="24"/>
              </w:rPr>
              <w:t>(1)提供虚假材料谋取成交；</w:t>
            </w:r>
          </w:p>
          <w:p>
            <w:pPr>
              <w:spacing w:line="420" w:lineRule="exact"/>
              <w:ind w:firstLineChars="200"/>
              <w:rPr>
                <w:rFonts w:ascii="仿宋" w:hAnsi="仿宋" w:cs="仿宋"/>
                <w:color w:val="auto"/>
                <w:kern w:val="0"/>
                <w:szCs w:val="24"/>
              </w:rPr>
            </w:pPr>
            <w:r>
              <w:rPr>
                <w:rFonts w:hint="eastAsia" w:ascii="仿宋" w:hAnsi="仿宋" w:cs="仿宋"/>
                <w:color w:val="auto"/>
                <w:kern w:val="0"/>
                <w:szCs w:val="24"/>
              </w:rPr>
              <w:t>(2)采取不正当手段诋毁、排挤其他供应商；</w:t>
            </w:r>
          </w:p>
          <w:p>
            <w:pPr>
              <w:spacing w:line="420" w:lineRule="exact"/>
              <w:ind w:firstLineChars="200"/>
              <w:rPr>
                <w:rFonts w:ascii="仿宋" w:hAnsi="仿宋" w:cs="仿宋"/>
                <w:color w:val="auto"/>
                <w:kern w:val="0"/>
                <w:szCs w:val="24"/>
              </w:rPr>
            </w:pPr>
            <w:r>
              <w:rPr>
                <w:rFonts w:hint="eastAsia" w:ascii="仿宋" w:hAnsi="仿宋" w:cs="仿宋"/>
                <w:color w:val="auto"/>
                <w:kern w:val="0"/>
                <w:szCs w:val="24"/>
              </w:rPr>
              <w:t>(3)与采购单位、其他供应商恶意串通；</w:t>
            </w:r>
          </w:p>
          <w:p>
            <w:pPr>
              <w:spacing w:line="420" w:lineRule="exact"/>
              <w:ind w:firstLineChars="200"/>
              <w:rPr>
                <w:rFonts w:ascii="仿宋" w:hAnsi="仿宋" w:cs="仿宋"/>
                <w:color w:val="auto"/>
                <w:kern w:val="0"/>
                <w:szCs w:val="24"/>
              </w:rPr>
            </w:pPr>
            <w:r>
              <w:rPr>
                <w:rFonts w:hint="eastAsia" w:ascii="仿宋" w:hAnsi="仿宋" w:cs="仿宋"/>
                <w:color w:val="auto"/>
                <w:kern w:val="0"/>
                <w:szCs w:val="24"/>
              </w:rPr>
              <w:t>(4)向采购单位、代理机构行贿或者提供其他不正当利益。</w:t>
            </w:r>
          </w:p>
          <w:p>
            <w:pPr>
              <w:spacing w:line="420" w:lineRule="exact"/>
              <w:ind w:firstLineChars="200"/>
              <w:rPr>
                <w:rFonts w:ascii="仿宋" w:hAnsi="仿宋" w:cs="仿宋"/>
                <w:color w:val="auto"/>
                <w:kern w:val="0"/>
                <w:szCs w:val="24"/>
              </w:rPr>
            </w:pPr>
            <w:r>
              <w:rPr>
                <w:rFonts w:hint="eastAsia" w:ascii="仿宋" w:hAnsi="仿宋" w:cs="仿宋"/>
                <w:color w:val="auto"/>
                <w:kern w:val="0"/>
                <w:szCs w:val="24"/>
              </w:rPr>
              <w:t>(5)在采购活动中存在其他违法、违规、违纪行为。</w:t>
            </w:r>
          </w:p>
          <w:p>
            <w:pPr>
              <w:spacing w:line="420" w:lineRule="exact"/>
              <w:ind w:firstLineChars="200"/>
              <w:rPr>
                <w:rFonts w:ascii="仿宋" w:hAnsi="仿宋" w:cs="仿宋"/>
                <w:color w:val="auto"/>
                <w:kern w:val="0"/>
                <w:szCs w:val="24"/>
              </w:rPr>
            </w:pPr>
            <w:r>
              <w:rPr>
                <w:rFonts w:hint="eastAsia" w:ascii="仿宋" w:hAnsi="仿宋" w:cs="仿宋"/>
                <w:color w:val="auto"/>
                <w:kern w:val="0"/>
                <w:szCs w:val="24"/>
              </w:rPr>
              <w:t>(6)在确定成交供应商以前放弃成交候选资格的；</w:t>
            </w:r>
          </w:p>
          <w:p>
            <w:pPr>
              <w:spacing w:line="420" w:lineRule="exact"/>
              <w:ind w:firstLineChars="200"/>
              <w:rPr>
                <w:rFonts w:ascii="仿宋" w:hAnsi="仿宋" w:cs="仿宋"/>
                <w:color w:val="auto"/>
                <w:kern w:val="0"/>
                <w:szCs w:val="24"/>
              </w:rPr>
            </w:pPr>
            <w:r>
              <w:rPr>
                <w:rFonts w:hint="eastAsia" w:ascii="仿宋" w:hAnsi="仿宋" w:cs="仿宋"/>
                <w:color w:val="auto"/>
                <w:kern w:val="0"/>
                <w:szCs w:val="24"/>
              </w:rPr>
              <w:t>(7)成交供应商未在规定时间内领取成交通知书的；</w:t>
            </w:r>
          </w:p>
          <w:p>
            <w:pPr>
              <w:spacing w:line="420" w:lineRule="exact"/>
              <w:ind w:firstLineChars="200"/>
              <w:rPr>
                <w:rFonts w:ascii="仿宋" w:hAnsi="仿宋" w:cs="仿宋"/>
                <w:color w:val="auto"/>
                <w:kern w:val="0"/>
                <w:szCs w:val="24"/>
              </w:rPr>
            </w:pPr>
            <w:r>
              <w:rPr>
                <w:rFonts w:hint="eastAsia" w:ascii="仿宋" w:hAnsi="仿宋" w:cs="仿宋"/>
                <w:color w:val="auto"/>
                <w:kern w:val="0"/>
                <w:szCs w:val="24"/>
              </w:rPr>
              <w:t>(8)由于成交供应商的原因未能按照采购文件的规定与采购人签订合同。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41" w:type="pct"/>
            <w:vAlign w:val="center"/>
          </w:tcPr>
          <w:p>
            <w:pPr>
              <w:spacing w:line="420" w:lineRule="exact"/>
              <w:ind w:firstLine="0" w:firstLineChars="0"/>
              <w:jc w:val="center"/>
              <w:rPr>
                <w:rFonts w:hint="eastAsia" w:ascii="仿宋" w:hAnsi="仿宋" w:eastAsia="仿宋" w:cs="仿宋"/>
                <w:color w:val="auto"/>
                <w:kern w:val="0"/>
                <w:sz w:val="24"/>
                <w:szCs w:val="24"/>
                <w:lang w:val="en-US" w:eastAsia="zh-CN" w:bidi="ar-SA"/>
              </w:rPr>
            </w:pPr>
            <w:r>
              <w:rPr>
                <w:rFonts w:hint="eastAsia" w:ascii="仿宋" w:hAnsi="仿宋" w:cs="仿宋"/>
                <w:color w:val="auto"/>
                <w:kern w:val="0"/>
                <w:szCs w:val="24"/>
              </w:rPr>
              <w:t>12</w:t>
            </w:r>
          </w:p>
        </w:tc>
        <w:tc>
          <w:tcPr>
            <w:tcW w:w="796" w:type="pct"/>
            <w:vAlign w:val="center"/>
          </w:tcPr>
          <w:p>
            <w:pPr>
              <w:pStyle w:val="49"/>
              <w:spacing w:line="360" w:lineRule="exact"/>
              <w:jc w:val="center"/>
              <w:rPr>
                <w:rFonts w:hint="eastAsia" w:ascii="仿宋" w:hAnsi="仿宋" w:cs="仿宋"/>
                <w:color w:val="auto"/>
                <w:kern w:val="0"/>
                <w:szCs w:val="24"/>
              </w:rPr>
            </w:pPr>
            <w:r>
              <w:rPr>
                <w:rFonts w:hint="eastAsia" w:ascii="仿宋" w:hAnsi="仿宋" w:eastAsia="仿宋" w:cs="仿宋"/>
                <w:color w:val="auto"/>
                <w:lang w:val="zh-CN"/>
              </w:rPr>
              <w:t>履约保证金</w:t>
            </w:r>
          </w:p>
        </w:tc>
        <w:tc>
          <w:tcPr>
            <w:tcW w:w="3661" w:type="pct"/>
            <w:vAlign w:val="center"/>
          </w:tcPr>
          <w:p>
            <w:pPr>
              <w:pStyle w:val="54"/>
              <w:spacing w:line="360" w:lineRule="exact"/>
              <w:ind w:firstLine="480"/>
              <w:rPr>
                <w:rFonts w:hint="eastAsia" w:ascii="仿宋" w:hAnsi="仿宋" w:cs="仿宋"/>
                <w:color w:val="auto"/>
                <w:kern w:val="0"/>
                <w:szCs w:val="24"/>
              </w:rPr>
            </w:pPr>
            <w:r>
              <w:rPr>
                <w:rFonts w:hint="eastAsia" w:ascii="仿宋" w:hAnsi="仿宋" w:eastAsia="仿宋" w:cs="仿宋"/>
                <w:color w:val="auto"/>
                <w:kern w:val="0"/>
                <w:sz w:val="24"/>
                <w:highlight w:val="none"/>
                <w:lang w:val="zh-CN"/>
              </w:rPr>
              <w:t>本项目不涉及。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541" w:type="pct"/>
            <w:vAlign w:val="center"/>
          </w:tcPr>
          <w:p>
            <w:pPr>
              <w:spacing w:line="420" w:lineRule="exact"/>
              <w:ind w:firstLine="0" w:firstLineChars="0"/>
              <w:jc w:val="center"/>
              <w:rPr>
                <w:rFonts w:ascii="仿宋" w:hAnsi="仿宋" w:eastAsia="仿宋" w:cs="仿宋"/>
                <w:color w:val="auto"/>
                <w:kern w:val="0"/>
                <w:sz w:val="24"/>
                <w:szCs w:val="24"/>
                <w:lang w:val="en-US" w:eastAsia="zh-CN" w:bidi="ar-SA"/>
              </w:rPr>
            </w:pPr>
            <w:r>
              <w:rPr>
                <w:rFonts w:hint="eastAsia" w:ascii="仿宋" w:hAnsi="仿宋" w:cs="仿宋"/>
                <w:color w:val="auto"/>
                <w:kern w:val="0"/>
                <w:szCs w:val="24"/>
              </w:rPr>
              <w:t>13</w:t>
            </w:r>
          </w:p>
        </w:tc>
        <w:tc>
          <w:tcPr>
            <w:tcW w:w="796"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付款方式</w:t>
            </w:r>
          </w:p>
        </w:tc>
        <w:tc>
          <w:tcPr>
            <w:tcW w:w="3661" w:type="pct"/>
            <w:vAlign w:val="center"/>
          </w:tcPr>
          <w:p>
            <w:pPr>
              <w:spacing w:line="420" w:lineRule="exact"/>
              <w:ind w:firstLineChars="200"/>
              <w:rPr>
                <w:rFonts w:ascii="仿宋" w:hAnsi="仿宋" w:cs="仿宋"/>
                <w:color w:val="auto"/>
                <w:kern w:val="0"/>
                <w:szCs w:val="24"/>
              </w:rPr>
            </w:pPr>
            <w:r>
              <w:rPr>
                <w:rFonts w:hint="eastAsia" w:ascii="仿宋" w:hAnsi="仿宋" w:cs="仿宋"/>
                <w:color w:val="auto"/>
                <w:kern w:val="0"/>
                <w:szCs w:val="24"/>
              </w:rPr>
              <w:t>按照采购合同有关约定执行。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jc w:val="center"/>
        </w:trPr>
        <w:tc>
          <w:tcPr>
            <w:tcW w:w="541" w:type="pct"/>
            <w:vAlign w:val="center"/>
          </w:tcPr>
          <w:p>
            <w:pPr>
              <w:spacing w:line="420" w:lineRule="exact"/>
              <w:ind w:firstLine="0" w:firstLineChars="0"/>
              <w:jc w:val="center"/>
              <w:rPr>
                <w:rFonts w:ascii="仿宋" w:hAnsi="仿宋" w:eastAsia="仿宋" w:cs="仿宋"/>
                <w:color w:val="auto"/>
                <w:kern w:val="0"/>
                <w:sz w:val="24"/>
                <w:szCs w:val="24"/>
                <w:lang w:val="en-US" w:eastAsia="zh-CN" w:bidi="ar-SA"/>
              </w:rPr>
            </w:pPr>
            <w:r>
              <w:rPr>
                <w:rFonts w:hint="eastAsia" w:ascii="仿宋" w:hAnsi="仿宋" w:cs="仿宋"/>
                <w:color w:val="auto"/>
                <w:kern w:val="0"/>
                <w:szCs w:val="24"/>
              </w:rPr>
              <w:t>14</w:t>
            </w:r>
          </w:p>
        </w:tc>
        <w:tc>
          <w:tcPr>
            <w:tcW w:w="796"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服务标准要求</w:t>
            </w:r>
          </w:p>
        </w:tc>
        <w:tc>
          <w:tcPr>
            <w:tcW w:w="3661" w:type="pct"/>
            <w:vAlign w:val="center"/>
          </w:tcPr>
          <w:p>
            <w:pPr>
              <w:spacing w:line="420" w:lineRule="exact"/>
              <w:ind w:firstLineChars="200"/>
              <w:jc w:val="left"/>
              <w:rPr>
                <w:rFonts w:ascii="仿宋" w:hAnsi="仿宋" w:cs="仿宋"/>
                <w:color w:val="auto"/>
                <w:kern w:val="0"/>
                <w:szCs w:val="24"/>
              </w:rPr>
            </w:pPr>
            <w:r>
              <w:rPr>
                <w:rFonts w:hint="eastAsia" w:ascii="仿宋" w:hAnsi="仿宋" w:cs="仿宋"/>
                <w:color w:val="auto"/>
                <w:kern w:val="0"/>
                <w:szCs w:val="24"/>
              </w:rPr>
              <w:t>按照采购文件要求及国家相关行业技术规范和标准。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541" w:type="pct"/>
            <w:vAlign w:val="center"/>
          </w:tcPr>
          <w:p>
            <w:pPr>
              <w:spacing w:line="420" w:lineRule="exact"/>
              <w:ind w:firstLine="0" w:firstLineChars="0"/>
              <w:jc w:val="center"/>
              <w:rPr>
                <w:rFonts w:ascii="仿宋" w:hAnsi="仿宋" w:eastAsia="仿宋" w:cs="仿宋"/>
                <w:color w:val="auto"/>
                <w:kern w:val="0"/>
                <w:sz w:val="24"/>
                <w:szCs w:val="24"/>
                <w:lang w:val="en-US" w:eastAsia="zh-CN" w:bidi="ar-SA"/>
              </w:rPr>
            </w:pPr>
            <w:r>
              <w:rPr>
                <w:rFonts w:hint="eastAsia" w:ascii="仿宋" w:hAnsi="仿宋" w:cs="仿宋"/>
                <w:color w:val="auto"/>
                <w:kern w:val="0"/>
                <w:szCs w:val="24"/>
              </w:rPr>
              <w:t>15</w:t>
            </w:r>
          </w:p>
        </w:tc>
        <w:tc>
          <w:tcPr>
            <w:tcW w:w="796"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合同的</w:t>
            </w:r>
          </w:p>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履行验收</w:t>
            </w:r>
          </w:p>
        </w:tc>
        <w:tc>
          <w:tcPr>
            <w:tcW w:w="3661" w:type="pct"/>
            <w:vAlign w:val="center"/>
          </w:tcPr>
          <w:p>
            <w:pPr>
              <w:spacing w:line="420" w:lineRule="exact"/>
              <w:ind w:firstLineChars="200"/>
              <w:rPr>
                <w:rFonts w:ascii="仿宋" w:hAnsi="仿宋" w:cs="仿宋"/>
                <w:color w:val="auto"/>
                <w:kern w:val="0"/>
                <w:szCs w:val="24"/>
              </w:rPr>
            </w:pPr>
            <w:r>
              <w:rPr>
                <w:rFonts w:hint="eastAsia" w:ascii="仿宋" w:hAnsi="仿宋" w:cs="仿宋"/>
                <w:color w:val="auto"/>
                <w:kern w:val="0"/>
                <w:szCs w:val="24"/>
              </w:rPr>
              <w:t>成交供应商与采购人签订采购合同后，合同双方应严格执行合同条款，履行合同规定的义务，保证合同的顺利完成。在合同履行过程中，如发生合同纠纷，合同双方应按照《中华人民共和国民法典》的有关规定进行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jc w:val="center"/>
        </w:trPr>
        <w:tc>
          <w:tcPr>
            <w:tcW w:w="541" w:type="pct"/>
            <w:vAlign w:val="center"/>
          </w:tcPr>
          <w:p>
            <w:pPr>
              <w:spacing w:line="420" w:lineRule="exact"/>
              <w:ind w:firstLine="0"/>
              <w:jc w:val="center"/>
              <w:rPr>
                <w:rFonts w:hint="default" w:ascii="仿宋" w:hAnsi="仿宋" w:eastAsia="仿宋" w:cs="仿宋"/>
                <w:color w:val="auto"/>
                <w:kern w:val="0"/>
                <w:szCs w:val="24"/>
                <w:lang w:val="en-US" w:eastAsia="zh-CN"/>
              </w:rPr>
            </w:pPr>
            <w:r>
              <w:rPr>
                <w:rFonts w:hint="eastAsia" w:ascii="仿宋" w:hAnsi="仿宋" w:cs="仿宋"/>
                <w:color w:val="auto"/>
                <w:kern w:val="0"/>
                <w:szCs w:val="24"/>
                <w:lang w:val="en-US" w:eastAsia="zh-CN"/>
              </w:rPr>
              <w:t>16</w:t>
            </w:r>
          </w:p>
        </w:tc>
        <w:tc>
          <w:tcPr>
            <w:tcW w:w="796"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采购文件</w:t>
            </w:r>
          </w:p>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澄清和修改</w:t>
            </w:r>
          </w:p>
        </w:tc>
        <w:tc>
          <w:tcPr>
            <w:tcW w:w="3661" w:type="pct"/>
            <w:vAlign w:val="center"/>
          </w:tcPr>
          <w:p>
            <w:pPr>
              <w:spacing w:line="420" w:lineRule="exact"/>
              <w:ind w:firstLineChars="200"/>
              <w:jc w:val="left"/>
              <w:rPr>
                <w:rFonts w:ascii="仿宋" w:hAnsi="仿宋" w:cs="仿宋"/>
                <w:color w:val="auto"/>
                <w:kern w:val="0"/>
                <w:szCs w:val="24"/>
              </w:rPr>
            </w:pPr>
            <w:r>
              <w:rPr>
                <w:rFonts w:hint="eastAsia" w:ascii="仿宋" w:hAnsi="仿宋" w:cs="仿宋"/>
                <w:color w:val="auto"/>
                <w:kern w:val="0"/>
                <w:szCs w:val="24"/>
              </w:rPr>
              <w:t>1.在报名截止时间前，采购人可以对采购文件进行澄清或者修改。</w:t>
            </w:r>
          </w:p>
          <w:p>
            <w:pPr>
              <w:spacing w:line="420" w:lineRule="exact"/>
              <w:ind w:firstLineChars="200"/>
              <w:jc w:val="left"/>
              <w:rPr>
                <w:rFonts w:ascii="仿宋" w:hAnsi="仿宋" w:cs="仿宋"/>
                <w:color w:val="auto"/>
                <w:kern w:val="0"/>
                <w:szCs w:val="24"/>
              </w:rPr>
            </w:pPr>
            <w:r>
              <w:rPr>
                <w:rFonts w:hint="eastAsia" w:ascii="仿宋" w:hAnsi="仿宋" w:cs="仿宋"/>
                <w:color w:val="auto"/>
                <w:kern w:val="0"/>
                <w:szCs w:val="24"/>
              </w:rPr>
              <w:t>2.供应商在收到采购文件后，应仔细检查文件的所有内容，如有质疑或文件内容缺失应及时向</w:t>
            </w:r>
            <w:r>
              <w:rPr>
                <w:rFonts w:hint="eastAsia" w:ascii="仿宋" w:hAnsi="仿宋" w:cs="仿宋"/>
                <w:color w:val="auto"/>
                <w:kern w:val="0"/>
                <w:szCs w:val="24"/>
                <w:lang w:val="en-US" w:eastAsia="zh-CN"/>
              </w:rPr>
              <w:t>广元市利州区文旅投资集团有限公司</w:t>
            </w:r>
            <w:r>
              <w:rPr>
                <w:rFonts w:hint="eastAsia" w:ascii="仿宋" w:hAnsi="仿宋" w:cs="仿宋"/>
                <w:color w:val="auto"/>
                <w:kern w:val="0"/>
                <w:szCs w:val="24"/>
              </w:rPr>
              <w:t>书面提出，否则，由此引起的损失由供应商自负。</w:t>
            </w:r>
          </w:p>
          <w:p>
            <w:pPr>
              <w:spacing w:line="420" w:lineRule="exact"/>
              <w:ind w:firstLineChars="200"/>
              <w:jc w:val="left"/>
              <w:rPr>
                <w:rFonts w:ascii="仿宋" w:hAnsi="仿宋" w:cs="仿宋"/>
                <w:color w:val="auto"/>
                <w:kern w:val="0"/>
                <w:szCs w:val="24"/>
              </w:rPr>
            </w:pPr>
            <w:r>
              <w:rPr>
                <w:rFonts w:hint="eastAsia" w:ascii="仿宋" w:hAnsi="仿宋" w:cs="仿宋"/>
                <w:color w:val="auto"/>
                <w:kern w:val="0"/>
                <w:szCs w:val="24"/>
              </w:rPr>
              <w:t>采购人如需对采购文件主动澄清或修改，将在响应文件提交截止时间的3个工作日前在采购公告发布的原渠道发布更正公告，不足3个工作日的，响应文件提交截止时间顺延至3个工作日。</w:t>
            </w:r>
          </w:p>
          <w:p>
            <w:pPr>
              <w:spacing w:line="420" w:lineRule="exact"/>
              <w:ind w:firstLineChars="200"/>
              <w:jc w:val="left"/>
              <w:rPr>
                <w:rFonts w:ascii="仿宋" w:hAnsi="仿宋" w:cs="仿宋"/>
                <w:color w:val="auto"/>
                <w:kern w:val="0"/>
                <w:szCs w:val="24"/>
              </w:rPr>
            </w:pPr>
            <w:r>
              <w:rPr>
                <w:rFonts w:hint="eastAsia" w:ascii="仿宋" w:hAnsi="仿宋" w:cs="仿宋"/>
                <w:color w:val="auto"/>
                <w:kern w:val="0"/>
                <w:szCs w:val="24"/>
              </w:rPr>
              <w:t>所有获取采购文件的供应商须自行到</w:t>
            </w:r>
            <w:r>
              <w:rPr>
                <w:rFonts w:hint="eastAsia" w:ascii="仿宋" w:hAnsi="仿宋" w:cs="仿宋"/>
                <w:color w:val="auto"/>
                <w:kern w:val="0"/>
                <w:szCs w:val="24"/>
                <w:lang w:val="en-US" w:eastAsia="zh-CN"/>
              </w:rPr>
              <w:t>广元市利州区文旅投资集团有限公司</w:t>
            </w:r>
            <w:r>
              <w:rPr>
                <w:rFonts w:hint="eastAsia" w:ascii="仿宋" w:hAnsi="仿宋" w:cs="仿宋"/>
                <w:color w:val="auto"/>
                <w:kern w:val="0"/>
                <w:szCs w:val="24"/>
              </w:rPr>
              <w:t>获取更正内容，不再另行通知，意向供应商未获取变更文件所造成的后果须自负。该澄清或者修改的内容为采购文件的组成部分。</w:t>
            </w:r>
          </w:p>
          <w:p>
            <w:pPr>
              <w:spacing w:line="420" w:lineRule="exact"/>
              <w:ind w:firstLineChars="200"/>
              <w:jc w:val="left"/>
              <w:rPr>
                <w:rFonts w:ascii="仿宋" w:hAnsi="仿宋" w:cs="仿宋"/>
                <w:color w:val="auto"/>
                <w:kern w:val="0"/>
                <w:szCs w:val="24"/>
              </w:rPr>
            </w:pPr>
            <w:r>
              <w:rPr>
                <w:rFonts w:hint="eastAsia" w:ascii="仿宋" w:hAnsi="仿宋" w:cs="仿宋"/>
                <w:bCs/>
                <w:color w:val="auto"/>
                <w:kern w:val="0"/>
                <w:szCs w:val="24"/>
              </w:rPr>
              <w:t>3.意向</w:t>
            </w:r>
            <w:r>
              <w:rPr>
                <w:rFonts w:hint="eastAsia" w:ascii="仿宋" w:hAnsi="仿宋" w:cs="仿宋"/>
                <w:color w:val="auto"/>
                <w:kern w:val="0"/>
                <w:szCs w:val="24"/>
              </w:rPr>
              <w:t>供应商如有疑问，应在在提交响应文件截止时间的3个工作日前以书面形式递交采购人；采购人将在提交响应文件截止时间的1个工作日前</w:t>
            </w:r>
            <w:r>
              <w:rPr>
                <w:rFonts w:hint="eastAsia" w:ascii="仿宋" w:hAnsi="仿宋" w:cs="仿宋"/>
                <w:bCs/>
                <w:color w:val="auto"/>
                <w:kern w:val="0"/>
                <w:szCs w:val="24"/>
              </w:rPr>
              <w:t>对意向供应商的疑问以书面形式进行澄清，未予澄清的内容采购人不予任何解释，按本文件执行。</w:t>
            </w:r>
          </w:p>
          <w:p>
            <w:pPr>
              <w:spacing w:line="420" w:lineRule="exact"/>
              <w:ind w:firstLineChars="200"/>
              <w:jc w:val="left"/>
              <w:rPr>
                <w:rFonts w:ascii="仿宋" w:hAnsi="仿宋" w:cs="仿宋"/>
                <w:color w:val="auto"/>
                <w:kern w:val="0"/>
                <w:szCs w:val="24"/>
              </w:rPr>
            </w:pPr>
            <w:r>
              <w:rPr>
                <w:rFonts w:hint="eastAsia" w:ascii="仿宋" w:hAnsi="仿宋" w:cs="仿宋"/>
                <w:color w:val="auto"/>
                <w:kern w:val="0"/>
                <w:szCs w:val="24"/>
              </w:rPr>
              <w:t>4.响应文件提交截止时间到期后，采购人均认为</w:t>
            </w:r>
            <w:r>
              <w:rPr>
                <w:rStyle w:val="27"/>
                <w:rFonts w:hint="eastAsia" w:ascii="仿宋" w:hAnsi="仿宋" w:cs="仿宋"/>
                <w:color w:val="auto"/>
                <w:spacing w:val="6"/>
                <w:kern w:val="48"/>
                <w:szCs w:val="24"/>
                <w:u w:val="none"/>
              </w:rPr>
              <w:t>意向供应商</w:t>
            </w:r>
            <w:r>
              <w:rPr>
                <w:rFonts w:hint="eastAsia" w:ascii="仿宋" w:hAnsi="仿宋" w:cs="仿宋"/>
                <w:color w:val="auto"/>
                <w:kern w:val="0"/>
                <w:szCs w:val="24"/>
              </w:rPr>
              <w:t>对采购文件所有内容已不存在疑意并已充分理解，其报名文件已充分考虑到本次采购活动所存在的各种风险，当采购文件、补遗书内容相互矛盾时，以最后发出的补遗书为准。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541" w:type="pct"/>
            <w:vAlign w:val="center"/>
          </w:tcPr>
          <w:p>
            <w:pPr>
              <w:spacing w:line="420" w:lineRule="exact"/>
              <w:ind w:firstLine="0"/>
              <w:jc w:val="center"/>
              <w:rPr>
                <w:rFonts w:hint="eastAsia" w:ascii="仿宋" w:hAnsi="仿宋" w:eastAsia="仿宋" w:cs="仿宋"/>
                <w:color w:val="auto"/>
                <w:kern w:val="0"/>
                <w:szCs w:val="24"/>
                <w:lang w:eastAsia="zh-CN"/>
              </w:rPr>
            </w:pPr>
            <w:r>
              <w:rPr>
                <w:rFonts w:hint="eastAsia" w:ascii="仿宋" w:hAnsi="仿宋" w:cs="仿宋"/>
                <w:color w:val="auto"/>
                <w:kern w:val="0"/>
                <w:szCs w:val="24"/>
              </w:rPr>
              <w:t>1</w:t>
            </w:r>
            <w:r>
              <w:rPr>
                <w:rFonts w:hint="eastAsia" w:ascii="仿宋" w:hAnsi="仿宋" w:cs="仿宋"/>
                <w:color w:val="auto"/>
                <w:kern w:val="0"/>
                <w:szCs w:val="24"/>
                <w:lang w:val="en-US" w:eastAsia="zh-CN"/>
              </w:rPr>
              <w:t>7</w:t>
            </w:r>
          </w:p>
        </w:tc>
        <w:tc>
          <w:tcPr>
            <w:tcW w:w="796" w:type="pct"/>
            <w:vAlign w:val="center"/>
          </w:tcPr>
          <w:p>
            <w:pPr>
              <w:spacing w:line="420" w:lineRule="exact"/>
              <w:ind w:firstLine="0"/>
              <w:jc w:val="center"/>
              <w:rPr>
                <w:rFonts w:ascii="仿宋" w:hAnsi="仿宋" w:cs="仿宋"/>
                <w:color w:val="auto"/>
                <w:kern w:val="0"/>
                <w:szCs w:val="24"/>
              </w:rPr>
            </w:pPr>
            <w:r>
              <w:rPr>
                <w:rFonts w:hint="eastAsia" w:ascii="仿宋" w:hAnsi="仿宋" w:cs="仿宋"/>
                <w:color w:val="auto"/>
                <w:kern w:val="0"/>
                <w:szCs w:val="24"/>
              </w:rPr>
              <w:t>其他事项</w:t>
            </w:r>
          </w:p>
        </w:tc>
        <w:tc>
          <w:tcPr>
            <w:tcW w:w="3661" w:type="pct"/>
            <w:vAlign w:val="center"/>
          </w:tcPr>
          <w:p>
            <w:pPr>
              <w:adjustRightInd w:val="0"/>
              <w:snapToGrid w:val="0"/>
              <w:spacing w:line="420" w:lineRule="exact"/>
              <w:ind w:firstLineChars="200"/>
              <w:rPr>
                <w:rFonts w:ascii="仿宋" w:hAnsi="仿宋" w:cs="仿宋"/>
                <w:color w:val="auto"/>
                <w:kern w:val="0"/>
                <w:szCs w:val="24"/>
              </w:rPr>
            </w:pPr>
            <w:r>
              <w:rPr>
                <w:rFonts w:hint="eastAsia" w:ascii="仿宋" w:hAnsi="仿宋" w:cs="仿宋"/>
                <w:color w:val="auto"/>
                <w:kern w:val="0"/>
                <w:szCs w:val="24"/>
              </w:rPr>
              <w:t>1.本项目不允许转包和分包。</w:t>
            </w:r>
          </w:p>
          <w:p>
            <w:pPr>
              <w:adjustRightInd w:val="0"/>
              <w:snapToGrid w:val="0"/>
              <w:spacing w:line="420" w:lineRule="exact"/>
              <w:ind w:firstLineChars="200"/>
              <w:rPr>
                <w:rFonts w:ascii="仿宋" w:hAnsi="仿宋" w:cs="仿宋"/>
                <w:bCs/>
                <w:color w:val="auto"/>
                <w:kern w:val="0"/>
                <w:szCs w:val="24"/>
              </w:rPr>
            </w:pPr>
            <w:r>
              <w:rPr>
                <w:rFonts w:hint="eastAsia" w:ascii="仿宋" w:hAnsi="仿宋" w:cs="仿宋"/>
                <w:bCs/>
                <w:color w:val="auto"/>
                <w:kern w:val="0"/>
                <w:szCs w:val="24"/>
              </w:rPr>
              <w:t>2.意向供应商应对本采购文件中所有条款充分理解并完全响应。</w:t>
            </w:r>
          </w:p>
          <w:p>
            <w:pPr>
              <w:adjustRightInd w:val="0"/>
              <w:snapToGrid w:val="0"/>
              <w:spacing w:line="420" w:lineRule="exact"/>
              <w:ind w:firstLineChars="200"/>
              <w:rPr>
                <w:rFonts w:ascii="仿宋" w:hAnsi="仿宋" w:cs="仿宋"/>
                <w:bCs/>
                <w:color w:val="auto"/>
                <w:kern w:val="0"/>
                <w:szCs w:val="24"/>
              </w:rPr>
            </w:pPr>
            <w:r>
              <w:rPr>
                <w:rFonts w:hint="eastAsia" w:ascii="仿宋" w:hAnsi="仿宋" w:cs="仿宋"/>
                <w:bCs/>
                <w:color w:val="auto"/>
                <w:kern w:val="0"/>
                <w:szCs w:val="24"/>
              </w:rPr>
              <w:t>3.在采购活动中若发现意向供应商围选、串选、挂靠嫌疑，采购人有权暂停或取消本次</w:t>
            </w:r>
            <w:r>
              <w:rPr>
                <w:rFonts w:hint="eastAsia" w:ascii="仿宋" w:hAnsi="仿宋" w:cs="仿宋"/>
                <w:color w:val="auto"/>
                <w:kern w:val="0"/>
                <w:szCs w:val="24"/>
              </w:rPr>
              <w:t>采购</w:t>
            </w:r>
            <w:r>
              <w:rPr>
                <w:rFonts w:hint="eastAsia" w:ascii="仿宋" w:hAnsi="仿宋" w:cs="仿宋"/>
                <w:bCs/>
                <w:color w:val="auto"/>
                <w:kern w:val="0"/>
                <w:szCs w:val="24"/>
              </w:rPr>
              <w:t>活动，同时报送相关部门，严格按照法律程序处理，采购人有权采取其他方式进行采购。</w:t>
            </w:r>
          </w:p>
          <w:p>
            <w:pPr>
              <w:adjustRightInd w:val="0"/>
              <w:snapToGrid w:val="0"/>
              <w:spacing w:line="420" w:lineRule="exact"/>
              <w:ind w:firstLineChars="200"/>
              <w:rPr>
                <w:rFonts w:ascii="仿宋" w:hAnsi="仿宋" w:cs="仿宋"/>
                <w:bCs/>
                <w:color w:val="auto"/>
                <w:kern w:val="0"/>
                <w:szCs w:val="24"/>
              </w:rPr>
            </w:pPr>
            <w:r>
              <w:rPr>
                <w:rFonts w:hint="eastAsia" w:ascii="仿宋" w:hAnsi="仿宋" w:cs="仿宋"/>
                <w:bCs/>
                <w:color w:val="auto"/>
                <w:kern w:val="0"/>
                <w:szCs w:val="24"/>
              </w:rPr>
              <w:t>4.在合同执行过程中经采购人查实成交供应商有围选、串选、挂靠行为的，采购人将单方面终止合同，造成的相关损失由成交供应商承担。</w:t>
            </w:r>
          </w:p>
          <w:p>
            <w:pPr>
              <w:adjustRightInd w:val="0"/>
              <w:snapToGrid w:val="0"/>
              <w:spacing w:line="420" w:lineRule="exact"/>
              <w:ind w:firstLineChars="200"/>
              <w:rPr>
                <w:rFonts w:ascii="仿宋" w:hAnsi="仿宋" w:cs="仿宋"/>
                <w:color w:val="auto"/>
                <w:kern w:val="0"/>
                <w:szCs w:val="24"/>
              </w:rPr>
            </w:pPr>
            <w:r>
              <w:rPr>
                <w:rFonts w:hint="eastAsia" w:ascii="仿宋" w:hAnsi="仿宋" w:cs="仿宋"/>
                <w:color w:val="auto"/>
                <w:kern w:val="0"/>
                <w:szCs w:val="24"/>
              </w:rPr>
              <w:t>5.</w:t>
            </w:r>
            <w:r>
              <w:rPr>
                <w:rFonts w:hint="eastAsia" w:ascii="仿宋" w:hAnsi="仿宋" w:cs="仿宋"/>
                <w:bCs/>
                <w:color w:val="auto"/>
                <w:kern w:val="0"/>
                <w:szCs w:val="24"/>
              </w:rPr>
              <w:t>成交供应商</w:t>
            </w:r>
            <w:r>
              <w:rPr>
                <w:rFonts w:hint="eastAsia" w:ascii="仿宋" w:hAnsi="仿宋" w:cs="仿宋"/>
                <w:color w:val="auto"/>
                <w:kern w:val="0"/>
                <w:szCs w:val="24"/>
              </w:rPr>
              <w:t>履约后因材料出现重大质量问题或成交供应商的其它原因导致采购人单方解除合同的，该成交供应商在三年内不能参与采购人的采购活动。</w:t>
            </w:r>
          </w:p>
          <w:p>
            <w:pPr>
              <w:adjustRightInd w:val="0"/>
              <w:snapToGrid w:val="0"/>
              <w:spacing w:line="420" w:lineRule="exact"/>
              <w:ind w:firstLineChars="200"/>
              <w:rPr>
                <w:rFonts w:ascii="仿宋" w:hAnsi="仿宋" w:cs="仿宋"/>
                <w:bCs/>
                <w:color w:val="auto"/>
                <w:kern w:val="0"/>
                <w:szCs w:val="24"/>
              </w:rPr>
            </w:pPr>
            <w:r>
              <w:rPr>
                <w:rFonts w:hint="eastAsia" w:ascii="仿宋" w:hAnsi="仿宋" w:cs="仿宋"/>
                <w:color w:val="auto"/>
                <w:kern w:val="0"/>
                <w:szCs w:val="24"/>
              </w:rPr>
              <w:t>6.本次采购活动自发布公告至竞选结束由采购人监督人员进行全程监督。</w:t>
            </w:r>
          </w:p>
        </w:tc>
      </w:tr>
    </w:tbl>
    <w:p>
      <w:pPr>
        <w:pStyle w:val="4"/>
        <w:ind w:firstLine="0"/>
        <w:rPr>
          <w:rFonts w:ascii="Times New Roman" w:hAnsi="Times New Roman" w:eastAsia="仿宋" w:cs="Times New Roman"/>
          <w:color w:val="auto"/>
          <w:sz w:val="40"/>
        </w:rPr>
        <w:sectPr>
          <w:headerReference r:id="rId6" w:type="default"/>
          <w:footerReference r:id="rId7" w:type="default"/>
          <w:pgSz w:w="11906" w:h="16838"/>
          <w:pgMar w:top="1440" w:right="1800" w:bottom="1440" w:left="1800" w:header="851" w:footer="992" w:gutter="0"/>
          <w:cols w:space="425" w:num="1"/>
          <w:docGrid w:type="lines" w:linePitch="312" w:charSpace="0"/>
        </w:sectPr>
      </w:pPr>
      <w:bookmarkStart w:id="8" w:name="_Toc15659"/>
      <w:bookmarkStart w:id="9" w:name="_Toc3702"/>
    </w:p>
    <w:p>
      <w:pPr>
        <w:pStyle w:val="5"/>
        <w:keepNext w:val="0"/>
        <w:keepLines w:val="0"/>
        <w:spacing w:before="240" w:after="240" w:line="240" w:lineRule="auto"/>
        <w:ind w:firstLine="0"/>
        <w:jc w:val="center"/>
        <w:rPr>
          <w:rFonts w:ascii="Times New Roman" w:hAnsi="Times New Roman" w:eastAsia="仿宋_GB2312" w:cs="Times New Roman"/>
          <w:bCs w:val="0"/>
          <w:color w:val="auto"/>
          <w:sz w:val="40"/>
          <w:szCs w:val="44"/>
          <w:highlight w:val="none"/>
        </w:rPr>
      </w:pPr>
      <w:bookmarkStart w:id="10" w:name="_Toc28351"/>
      <w:bookmarkStart w:id="11" w:name="_Toc2562"/>
      <w:r>
        <w:rPr>
          <w:rFonts w:ascii="Times New Roman" w:hAnsi="Times New Roman" w:eastAsia="仿宋_GB2312" w:cs="Times New Roman"/>
          <w:bCs w:val="0"/>
          <w:color w:val="auto"/>
          <w:sz w:val="40"/>
          <w:szCs w:val="44"/>
          <w:highlight w:val="none"/>
        </w:rPr>
        <w:t>第三章 采购项目详细要求</w:t>
      </w:r>
      <w:bookmarkEnd w:id="8"/>
      <w:bookmarkEnd w:id="10"/>
      <w:bookmarkEnd w:id="11"/>
    </w:p>
    <w:p>
      <w:pPr>
        <w:spacing w:line="480" w:lineRule="exact"/>
        <w:ind w:firstLine="562"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一、项目概况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（一）项目名称：万达学校游泳馆</w:t>
      </w:r>
      <w:r>
        <w:rPr>
          <w:rFonts w:hint="default" w:ascii="仿宋_GB2312" w:hAnsi="仿宋_GB2312" w:eastAsia="仿宋_GB2312" w:cs="仿宋_GB2312"/>
          <w:color w:val="000000"/>
          <w:kern w:val="0"/>
          <w:sz w:val="28"/>
          <w:szCs w:val="28"/>
          <w:lang w:val="en-US" w:eastAsia="zh-CN" w:bidi="ar-SA"/>
        </w:rPr>
        <w:t>竣工结算审计（内审）</w:t>
      </w:r>
      <w:r>
        <w:rPr>
          <w:rFonts w:hint="eastAsia" w:ascii="仿宋_GB2312" w:hAnsi="仿宋_GB2312" w:eastAsia="仿宋_GB2312" w:cs="仿宋_GB2312"/>
          <w:color w:val="000000"/>
          <w:kern w:val="0"/>
          <w:sz w:val="28"/>
          <w:szCs w:val="28"/>
          <w:lang w:val="en-US" w:eastAsia="zh-CN" w:bidi="ar-SA"/>
        </w:rPr>
        <w:t>服务采购。</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（二）项目概述：</w:t>
      </w:r>
    </w:p>
    <w:p>
      <w:pPr>
        <w:pStyle w:val="2"/>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万达学校游泳馆建设的全部项目</w:t>
      </w:r>
    </w:p>
    <w:p>
      <w:pPr>
        <w:pStyle w:val="3"/>
        <w:numPr>
          <w:ilvl w:val="0"/>
          <w:numId w:val="4"/>
        </w:numPr>
        <w:rPr>
          <w:rFonts w:hint="eastAsia" w:ascii="方正仿宋_GB2312" w:hAnsi="方正仿宋_GB2312" w:eastAsia="方正仿宋_GB2312" w:cs="方正仿宋_GB2312"/>
          <w:sz w:val="28"/>
          <w:szCs w:val="28"/>
          <w:u w:val="none"/>
          <w:lang w:eastAsia="zh-CN"/>
        </w:rPr>
      </w:pPr>
      <w:r>
        <w:rPr>
          <w:rFonts w:hint="eastAsia" w:ascii="方正仿宋_GB2312" w:hAnsi="方正仿宋_GB2312" w:eastAsia="方正仿宋_GB2312" w:cs="方正仿宋_GB2312"/>
          <w:sz w:val="28"/>
          <w:szCs w:val="28"/>
          <w:u w:val="none"/>
        </w:rPr>
        <w:t>广元市万达中学游泳馆功能提升改造项目</w:t>
      </w:r>
      <w:r>
        <w:rPr>
          <w:rFonts w:hint="eastAsia" w:ascii="方正仿宋_GB2312" w:hAnsi="方正仿宋_GB2312" w:eastAsia="方正仿宋_GB2312" w:cs="方正仿宋_GB2312"/>
          <w:sz w:val="28"/>
          <w:szCs w:val="28"/>
          <w:u w:val="none"/>
          <w:lang w:eastAsia="zh-CN"/>
        </w:rPr>
        <w:t>；</w:t>
      </w:r>
    </w:p>
    <w:p>
      <w:pPr>
        <w:pStyle w:val="3"/>
        <w:numPr>
          <w:ilvl w:val="0"/>
          <w:numId w:val="4"/>
        </w:numPr>
        <w:rPr>
          <w:rFonts w:hint="eastAsia" w:ascii="方正仿宋_GB2312" w:hAnsi="方正仿宋_GB2312" w:eastAsia="方正仿宋_GB2312" w:cs="方正仿宋_GB2312"/>
          <w:sz w:val="28"/>
          <w:szCs w:val="28"/>
          <w:u w:val="none"/>
          <w:lang w:val="en-US" w:eastAsia="zh-CN"/>
        </w:rPr>
      </w:pPr>
      <w:r>
        <w:rPr>
          <w:rFonts w:hint="eastAsia" w:ascii="方正仿宋_GB2312" w:hAnsi="方正仿宋_GB2312" w:eastAsia="方正仿宋_GB2312" w:cs="方正仿宋_GB2312"/>
          <w:sz w:val="28"/>
          <w:szCs w:val="28"/>
          <w:u w:val="none"/>
          <w:lang w:val="en-US" w:eastAsia="zh-CN"/>
        </w:rPr>
        <w:t>四川师范大学附属广元万达中学游泳馆功能提升改造项目恒温恒湿设备供应安装工程；</w:t>
      </w:r>
    </w:p>
    <w:p>
      <w:pPr>
        <w:pStyle w:val="3"/>
        <w:numPr>
          <w:ilvl w:val="0"/>
          <w:numId w:val="4"/>
        </w:numPr>
        <w:rPr>
          <w:rFonts w:hint="eastAsia" w:ascii="方正仿宋_GB2312" w:hAnsi="方正仿宋_GB2312" w:eastAsia="方正仿宋_GB2312" w:cs="方正仿宋_GB2312"/>
          <w:sz w:val="28"/>
          <w:szCs w:val="28"/>
          <w:u w:val="none"/>
          <w:lang w:val="en-US" w:eastAsia="zh-CN"/>
        </w:rPr>
      </w:pPr>
      <w:r>
        <w:rPr>
          <w:rFonts w:hint="eastAsia" w:ascii="方正仿宋_GB2312" w:hAnsi="方正仿宋_GB2312" w:eastAsia="方正仿宋_GB2312" w:cs="方正仿宋_GB2312"/>
          <w:color w:val="000000"/>
          <w:kern w:val="0"/>
          <w:sz w:val="28"/>
          <w:szCs w:val="28"/>
          <w:u w:val="none"/>
          <w:lang w:val="en-US" w:eastAsia="zh-CN" w:bidi="ar-SA"/>
        </w:rPr>
        <w:t>利州文旅（万达中学）游泳馆装修品质提升工程；</w:t>
      </w:r>
    </w:p>
    <w:p>
      <w:pPr>
        <w:pStyle w:val="3"/>
        <w:numPr>
          <w:ilvl w:val="0"/>
          <w:numId w:val="4"/>
        </w:numPr>
        <w:rPr>
          <w:rFonts w:hint="eastAsia" w:ascii="方正仿宋_GB2312" w:hAnsi="方正仿宋_GB2312" w:eastAsia="方正仿宋_GB2312" w:cs="方正仿宋_GB2312"/>
          <w:sz w:val="28"/>
          <w:szCs w:val="28"/>
          <w:u w:val="none"/>
          <w:lang w:val="en-US" w:eastAsia="zh-CN"/>
        </w:rPr>
      </w:pPr>
      <w:r>
        <w:rPr>
          <w:rFonts w:hint="eastAsia" w:ascii="方正仿宋_GB2312" w:hAnsi="方正仿宋_GB2312" w:eastAsia="方正仿宋_GB2312" w:cs="方正仿宋_GB2312"/>
          <w:color w:val="000000"/>
          <w:kern w:val="0"/>
          <w:sz w:val="28"/>
          <w:szCs w:val="28"/>
          <w:u w:val="none"/>
          <w:lang w:val="en-US" w:eastAsia="zh-CN" w:bidi="ar-SA"/>
        </w:rPr>
        <w:t>利州文旅（万达中学游泳馆）设备及配套系统采购；</w:t>
      </w:r>
    </w:p>
    <w:p>
      <w:pPr>
        <w:pStyle w:val="3"/>
        <w:numPr>
          <w:ilvl w:val="0"/>
          <w:numId w:val="4"/>
        </w:numPr>
        <w:rPr>
          <w:rFonts w:hint="eastAsia" w:ascii="方正仿宋_GB2312" w:hAnsi="方正仿宋_GB2312" w:eastAsia="方正仿宋_GB2312" w:cs="方正仿宋_GB2312"/>
          <w:sz w:val="28"/>
          <w:szCs w:val="28"/>
          <w:u w:val="none"/>
          <w:lang w:val="en-US" w:eastAsia="zh-CN"/>
        </w:rPr>
      </w:pPr>
      <w:r>
        <w:rPr>
          <w:rFonts w:hint="eastAsia" w:ascii="方正仿宋_GB2312" w:hAnsi="方正仿宋_GB2312" w:eastAsia="方正仿宋_GB2312" w:cs="方正仿宋_GB2312"/>
          <w:sz w:val="28"/>
          <w:szCs w:val="28"/>
          <w:u w:val="none"/>
          <w:lang w:val="en-US" w:eastAsia="zh-CN"/>
        </w:rPr>
        <w:t>利州文旅（万达中学）游泳馆变压器增容工程设计施工总承包采购项目；</w:t>
      </w:r>
    </w:p>
    <w:p>
      <w:pPr>
        <w:pStyle w:val="3"/>
        <w:numPr>
          <w:ilvl w:val="0"/>
          <w:numId w:val="5"/>
        </w:numPr>
        <w:spacing w:after="0" w:line="480" w:lineRule="exact"/>
        <w:ind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服务</w:t>
      </w:r>
      <w:r>
        <w:rPr>
          <w:rFonts w:hint="eastAsia" w:ascii="仿宋_GB2312" w:hAnsi="仿宋_GB2312" w:eastAsia="仿宋_GB2312" w:cs="仿宋_GB2312"/>
          <w:b/>
          <w:bCs/>
          <w:color w:val="auto"/>
          <w:sz w:val="28"/>
          <w:szCs w:val="28"/>
          <w:lang w:eastAsia="zh-CN"/>
        </w:rPr>
        <w:t>、人员配置</w:t>
      </w:r>
      <w:r>
        <w:rPr>
          <w:rFonts w:hint="eastAsia" w:ascii="仿宋_GB2312" w:hAnsi="仿宋_GB2312" w:eastAsia="仿宋_GB2312" w:cs="仿宋_GB2312"/>
          <w:b/>
          <w:bCs/>
          <w:color w:val="auto"/>
          <w:sz w:val="28"/>
          <w:szCs w:val="28"/>
        </w:rPr>
        <w:t>要求</w:t>
      </w:r>
    </w:p>
    <w:p>
      <w:pPr>
        <w:pStyle w:val="3"/>
        <w:keepNext w:val="0"/>
        <w:keepLines w:val="0"/>
        <w:pageBreakBefore w:val="0"/>
        <w:widowControl w:val="0"/>
        <w:kinsoku/>
        <w:wordWrap/>
        <w:overflowPunct/>
        <w:topLinePunct w:val="0"/>
        <w:autoSpaceDE/>
        <w:autoSpaceDN/>
        <w:bidi w:val="0"/>
        <w:adjustRightInd/>
        <w:snapToGrid/>
        <w:spacing w:after="0" w:line="480" w:lineRule="exact"/>
        <w:ind w:firstLine="562" w:firstLineChars="200"/>
        <w:textAlignment w:val="auto"/>
        <w:rPr>
          <w:rFonts w:hint="eastAsia" w:ascii="仿宋_GB2312" w:hAnsi="仿宋_GB2312" w:eastAsia="仿宋_GB2312" w:cs="仿宋_GB2312"/>
          <w:b/>
          <w:bCs/>
          <w:color w:val="auto"/>
          <w:kern w:val="2"/>
          <w:sz w:val="28"/>
          <w:szCs w:val="28"/>
          <w:highlight w:val="none"/>
          <w:lang w:val="en-US" w:eastAsia="zh-CN"/>
        </w:rPr>
      </w:pPr>
      <w:r>
        <w:rPr>
          <w:rFonts w:hint="eastAsia" w:ascii="仿宋_GB2312" w:hAnsi="仿宋_GB2312" w:eastAsia="仿宋_GB2312" w:cs="仿宋_GB2312"/>
          <w:b/>
          <w:bCs/>
          <w:color w:val="auto"/>
          <w:kern w:val="2"/>
          <w:sz w:val="28"/>
          <w:szCs w:val="28"/>
          <w:highlight w:val="none"/>
          <w:lang w:val="en-US" w:eastAsia="zh-CN"/>
        </w:rPr>
        <w:t>（一）服务要求</w:t>
      </w:r>
    </w:p>
    <w:p>
      <w:pPr>
        <w:pStyle w:val="3"/>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仿宋_GB2312" w:hAnsi="仿宋_GB2312" w:eastAsia="仿宋_GB2312" w:cs="仿宋_GB2312"/>
          <w:color w:val="auto"/>
          <w:kern w:val="2"/>
          <w:sz w:val="28"/>
          <w:szCs w:val="28"/>
          <w:lang w:val="en-US" w:eastAsia="zh-CN"/>
        </w:rPr>
      </w:pPr>
      <w:r>
        <w:rPr>
          <w:rFonts w:hint="eastAsia" w:ascii="仿宋_GB2312" w:hAnsi="仿宋_GB2312" w:eastAsia="仿宋_GB2312" w:cs="仿宋_GB2312"/>
          <w:color w:val="auto"/>
          <w:kern w:val="2"/>
          <w:sz w:val="28"/>
          <w:szCs w:val="28"/>
          <w:lang w:val="en-US" w:eastAsia="zh-CN"/>
        </w:rPr>
        <w:t>1.在约定时间内完成审计复核任务，不得将受托审计复核项目分包、转让、转包。</w:t>
      </w:r>
    </w:p>
    <w:p>
      <w:pPr>
        <w:pStyle w:val="3"/>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仿宋_GB2312" w:hAnsi="仿宋_GB2312" w:eastAsia="仿宋_GB2312" w:cs="仿宋_GB2312"/>
          <w:color w:val="auto"/>
          <w:kern w:val="2"/>
          <w:sz w:val="28"/>
          <w:szCs w:val="28"/>
          <w:lang w:val="en-US" w:eastAsia="zh-CN"/>
        </w:rPr>
      </w:pPr>
      <w:r>
        <w:rPr>
          <w:rFonts w:hint="eastAsia" w:ascii="仿宋_GB2312" w:hAnsi="仿宋_GB2312" w:eastAsia="仿宋_GB2312" w:cs="仿宋_GB2312"/>
          <w:color w:val="auto"/>
          <w:kern w:val="2"/>
          <w:sz w:val="28"/>
          <w:szCs w:val="28"/>
          <w:lang w:val="en-US" w:eastAsia="zh-CN"/>
        </w:rPr>
        <w:t>2.在接收到采购人移交的资料后，必须在规定时间内完成对资料完整性的确认，同时，要列明应补充完善的资料。若超过期限继续要求提供实质性资料的，将取消此项目的委托。</w:t>
      </w:r>
    </w:p>
    <w:p>
      <w:pPr>
        <w:pStyle w:val="3"/>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仿宋_GB2312" w:hAnsi="仿宋_GB2312" w:eastAsia="仿宋_GB2312" w:cs="仿宋_GB2312"/>
          <w:color w:val="auto"/>
          <w:kern w:val="2"/>
          <w:sz w:val="28"/>
          <w:szCs w:val="28"/>
          <w:lang w:val="en-US" w:eastAsia="zh-CN"/>
        </w:rPr>
      </w:pPr>
      <w:r>
        <w:rPr>
          <w:rFonts w:hint="eastAsia" w:ascii="仿宋_GB2312" w:hAnsi="仿宋_GB2312" w:eastAsia="仿宋_GB2312" w:cs="仿宋_GB2312"/>
          <w:color w:val="auto"/>
          <w:kern w:val="2"/>
          <w:sz w:val="28"/>
          <w:szCs w:val="28"/>
          <w:lang w:val="en-US" w:eastAsia="zh-CN"/>
        </w:rPr>
        <w:t>3.严格执行回避制度，不得同时接受具有利益冲突的双方或多方委托服务；不得对外提供工程造价咨询服务过程中获知的采购人的商业秘密和业务资料。一经发现，终止服务合同。</w:t>
      </w:r>
    </w:p>
    <w:p>
      <w:pPr>
        <w:pStyle w:val="3"/>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仿宋_GB2312" w:hAnsi="仿宋_GB2312" w:eastAsia="仿宋_GB2312" w:cs="仿宋_GB2312"/>
          <w:color w:val="auto"/>
          <w:kern w:val="2"/>
          <w:sz w:val="28"/>
          <w:szCs w:val="28"/>
          <w:lang w:val="en-US" w:eastAsia="zh-CN"/>
        </w:rPr>
      </w:pPr>
      <w:r>
        <w:rPr>
          <w:rFonts w:hint="eastAsia" w:ascii="仿宋_GB2312" w:hAnsi="仿宋_GB2312" w:eastAsia="仿宋_GB2312" w:cs="仿宋_GB2312"/>
          <w:color w:val="auto"/>
          <w:kern w:val="2"/>
          <w:sz w:val="28"/>
          <w:szCs w:val="28"/>
          <w:lang w:val="en-US" w:eastAsia="zh-CN"/>
        </w:rPr>
        <w:t>4.向采购人提交符合要求的审计报告和相应的取证记录、审计复核后结算书的纸质文档、电子文档、计算式等证明材料和成果文件。对审计复核结果负责，因审计复核质量、违规操作等原因致使采购人遭受损失，应承担一切经济和法律责任。</w:t>
      </w:r>
    </w:p>
    <w:p>
      <w:pPr>
        <w:pStyle w:val="3"/>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仿宋_GB2312" w:hAnsi="仿宋_GB2312" w:eastAsia="仿宋_GB2312" w:cs="仿宋_GB2312"/>
          <w:color w:val="auto"/>
          <w:kern w:val="2"/>
          <w:sz w:val="28"/>
          <w:szCs w:val="28"/>
          <w:lang w:val="en-US" w:eastAsia="zh-CN"/>
        </w:rPr>
      </w:pPr>
      <w:r>
        <w:rPr>
          <w:rFonts w:hint="eastAsia" w:ascii="仿宋_GB2312" w:hAnsi="仿宋_GB2312" w:eastAsia="仿宋_GB2312" w:cs="仿宋_GB2312"/>
          <w:color w:val="auto"/>
          <w:kern w:val="2"/>
          <w:sz w:val="28"/>
          <w:szCs w:val="28"/>
          <w:lang w:val="en-US" w:eastAsia="zh-CN"/>
        </w:rPr>
        <w:t>5.积极配合采购人对审计复核结果进行的复核工作。</w:t>
      </w:r>
    </w:p>
    <w:p>
      <w:pPr>
        <w:pStyle w:val="3"/>
        <w:keepNext w:val="0"/>
        <w:keepLines w:val="0"/>
        <w:pageBreakBefore w:val="0"/>
        <w:widowControl w:val="0"/>
        <w:kinsoku/>
        <w:wordWrap/>
        <w:overflowPunct/>
        <w:topLinePunct w:val="0"/>
        <w:autoSpaceDE/>
        <w:autoSpaceDN/>
        <w:bidi w:val="0"/>
        <w:adjustRightInd/>
        <w:snapToGrid/>
        <w:spacing w:after="0" w:line="480" w:lineRule="exact"/>
        <w:ind w:firstLine="562" w:firstLineChars="200"/>
        <w:textAlignment w:val="auto"/>
        <w:rPr>
          <w:rFonts w:hint="eastAsia" w:ascii="仿宋_GB2312" w:hAnsi="仿宋_GB2312" w:eastAsia="仿宋_GB2312" w:cs="仿宋_GB2312"/>
          <w:b/>
          <w:bCs/>
          <w:color w:val="auto"/>
          <w:kern w:val="2"/>
          <w:sz w:val="28"/>
          <w:szCs w:val="28"/>
          <w:highlight w:val="none"/>
          <w:lang w:val="en-US" w:eastAsia="zh-CN"/>
        </w:rPr>
      </w:pPr>
      <w:r>
        <w:rPr>
          <w:rFonts w:hint="eastAsia" w:ascii="仿宋_GB2312" w:hAnsi="仿宋_GB2312" w:eastAsia="仿宋_GB2312" w:cs="仿宋_GB2312"/>
          <w:b/>
          <w:bCs/>
          <w:color w:val="auto"/>
          <w:kern w:val="2"/>
          <w:sz w:val="28"/>
          <w:szCs w:val="28"/>
          <w:highlight w:val="none"/>
          <w:lang w:val="en-US" w:eastAsia="zh-CN"/>
        </w:rPr>
        <w:t>（二）人员配置要求</w:t>
      </w:r>
    </w:p>
    <w:p>
      <w:pPr>
        <w:pStyle w:val="3"/>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仿宋_GB2312" w:hAnsi="仿宋_GB2312" w:eastAsia="仿宋_GB2312" w:cs="仿宋_GB2312"/>
          <w:color w:val="auto"/>
          <w:kern w:val="2"/>
          <w:sz w:val="28"/>
          <w:szCs w:val="28"/>
          <w:lang w:val="en-US" w:eastAsia="zh-CN"/>
        </w:rPr>
      </w:pPr>
      <w:r>
        <w:rPr>
          <w:rFonts w:hint="eastAsia" w:ascii="仿宋_GB2312" w:hAnsi="仿宋_GB2312" w:eastAsia="仿宋_GB2312" w:cs="仿宋_GB2312"/>
          <w:color w:val="auto"/>
          <w:kern w:val="2"/>
          <w:sz w:val="28"/>
          <w:szCs w:val="28"/>
          <w:lang w:val="en-US" w:eastAsia="zh-CN"/>
        </w:rPr>
        <w:t>1.项目负责人：1名，须具有一级造价工程师，中级以上职称；</w:t>
      </w:r>
    </w:p>
    <w:p>
      <w:pPr>
        <w:pStyle w:val="3"/>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仿宋_GB2312" w:hAnsi="仿宋_GB2312" w:eastAsia="仿宋_GB2312" w:cs="仿宋_GB2312"/>
          <w:color w:val="auto"/>
          <w:kern w:val="2"/>
          <w:sz w:val="28"/>
          <w:szCs w:val="28"/>
          <w:lang w:val="en-US" w:eastAsia="zh-CN"/>
        </w:rPr>
      </w:pPr>
      <w:r>
        <w:rPr>
          <w:rFonts w:hint="eastAsia" w:ascii="仿宋_GB2312" w:hAnsi="仿宋_GB2312" w:eastAsia="仿宋_GB2312" w:cs="仿宋_GB2312"/>
          <w:color w:val="auto"/>
          <w:kern w:val="2"/>
          <w:sz w:val="28"/>
          <w:szCs w:val="28"/>
          <w:lang w:val="en-US" w:eastAsia="zh-CN"/>
        </w:rPr>
        <w:t>2.须配备房建负责人（或安装负责人）等技术力量，确保服务质量。</w:t>
      </w:r>
    </w:p>
    <w:p>
      <w:pPr>
        <w:pStyle w:val="3"/>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default"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3.项目人员须具有造价员证（审核），如有二级造价工程师，则配备二级造价工程师。</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三</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b/>
          <w:bCs/>
          <w:color w:val="auto"/>
          <w:sz w:val="28"/>
          <w:szCs w:val="28"/>
          <w:highlight w:val="none"/>
          <w:lang w:eastAsia="zh-CN"/>
        </w:rPr>
        <w:t>商务要求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Calibri" w:eastAsia="仿宋_GB2312" w:cs="Times New Roman"/>
          <w:bCs/>
          <w:color w:val="auto"/>
          <w:kern w:val="2"/>
          <w:sz w:val="28"/>
          <w:szCs w:val="28"/>
          <w:highlight w:val="none"/>
          <w:lang w:val="zh-CN" w:eastAsia="zh-CN" w:bidi="ar-SA"/>
        </w:rPr>
      </w:pPr>
      <w:r>
        <w:rPr>
          <w:rFonts w:hint="eastAsia" w:ascii="仿宋_GB2312" w:hAnsi="Calibri" w:eastAsia="仿宋_GB2312" w:cs="Times New Roman"/>
          <w:bCs/>
          <w:color w:val="auto"/>
          <w:kern w:val="2"/>
          <w:sz w:val="28"/>
          <w:szCs w:val="28"/>
          <w:highlight w:val="none"/>
          <w:lang w:val="zh-CN" w:eastAsia="zh-CN" w:bidi="ar-SA"/>
        </w:rPr>
        <w:t>（一）服务期限：签订服务合同起，</w:t>
      </w:r>
      <w:r>
        <w:rPr>
          <w:rFonts w:hint="eastAsia" w:ascii="仿宋_GB2312" w:hAnsi="Calibri" w:eastAsia="仿宋_GB2312" w:cs="Times New Roman"/>
          <w:bCs/>
          <w:color w:val="auto"/>
          <w:kern w:val="2"/>
          <w:sz w:val="28"/>
          <w:szCs w:val="28"/>
          <w:highlight w:val="none"/>
          <w:lang w:val="en-US" w:eastAsia="zh-CN" w:bidi="ar-SA"/>
        </w:rPr>
        <w:t>40日历天</w:t>
      </w:r>
      <w:r>
        <w:rPr>
          <w:rFonts w:hint="eastAsia" w:ascii="仿宋_GB2312" w:hAnsi="Calibri" w:eastAsia="仿宋_GB2312" w:cs="Times New Roman"/>
          <w:bCs/>
          <w:color w:val="auto"/>
          <w:kern w:val="2"/>
          <w:sz w:val="28"/>
          <w:szCs w:val="28"/>
          <w:highlight w:val="none"/>
          <w:lang w:val="zh-CN" w:eastAsia="zh-CN" w:bidi="ar-SA"/>
        </w:rPr>
        <w:t>完成项目竣工结算审核；特殊情况除外，以最终合同约定为准。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Calibri" w:eastAsia="仿宋_GB2312" w:cs="Times New Roman"/>
          <w:bCs/>
          <w:color w:val="auto"/>
          <w:kern w:val="2"/>
          <w:sz w:val="28"/>
          <w:szCs w:val="28"/>
          <w:highlight w:val="none"/>
          <w:lang w:val="zh-CN" w:eastAsia="zh-CN" w:bidi="ar-SA"/>
        </w:rPr>
      </w:pPr>
      <w:r>
        <w:rPr>
          <w:rFonts w:hint="eastAsia" w:ascii="仿宋_GB2312" w:hAnsi="Calibri" w:eastAsia="仿宋_GB2312" w:cs="Times New Roman"/>
          <w:bCs/>
          <w:color w:val="auto"/>
          <w:kern w:val="2"/>
          <w:sz w:val="28"/>
          <w:szCs w:val="28"/>
          <w:highlight w:val="none"/>
          <w:lang w:val="zh-CN" w:eastAsia="zh-CN" w:bidi="ar-SA"/>
        </w:rPr>
        <w:t>（二）服务地点：采购人指定地点。</w:t>
      </w:r>
    </w:p>
    <w:p>
      <w:pPr>
        <w:keepNext w:val="0"/>
        <w:keepLines w:val="0"/>
        <w:pageBreakBefore w:val="0"/>
        <w:widowControl w:val="0"/>
        <w:kinsoku/>
        <w:wordWrap/>
        <w:overflowPunct/>
        <w:topLinePunct w:val="0"/>
        <w:autoSpaceDE/>
        <w:autoSpaceDN/>
        <w:bidi w:val="0"/>
        <w:adjustRightInd/>
        <w:snapToGrid/>
        <w:spacing w:line="480" w:lineRule="exact"/>
        <w:ind w:left="557" w:leftChars="232" w:firstLine="0" w:firstLineChars="0"/>
        <w:jc w:val="left"/>
        <w:textAlignment w:val="auto"/>
        <w:rPr>
          <w:rFonts w:hint="eastAsia" w:ascii="仿宋_GB2312" w:hAnsi="Calibri" w:eastAsia="仿宋_GB2312" w:cs="Times New Roman"/>
          <w:bCs/>
          <w:color w:val="auto"/>
          <w:kern w:val="2"/>
          <w:sz w:val="28"/>
          <w:szCs w:val="28"/>
          <w:highlight w:val="none"/>
          <w:lang w:val="zh-CN" w:eastAsia="zh-CN" w:bidi="ar-SA"/>
        </w:rPr>
      </w:pPr>
      <w:r>
        <w:rPr>
          <w:rFonts w:hint="eastAsia" w:ascii="仿宋_GB2312" w:hAnsi="Calibri" w:eastAsia="仿宋_GB2312" w:cs="Times New Roman"/>
          <w:bCs/>
          <w:color w:val="auto"/>
          <w:kern w:val="2"/>
          <w:sz w:val="28"/>
          <w:szCs w:val="28"/>
          <w:highlight w:val="none"/>
          <w:lang w:val="zh-CN" w:eastAsia="zh-CN" w:bidi="ar-SA"/>
        </w:rPr>
        <w:t>（三）付款方式：在审计完成后30个工作日内支付服务费。</w:t>
      </w:r>
    </w:p>
    <w:p>
      <w:pPr>
        <w:pStyle w:val="3"/>
        <w:keepNext w:val="0"/>
        <w:keepLines w:val="0"/>
        <w:pageBreakBefore w:val="0"/>
        <w:widowControl w:val="0"/>
        <w:kinsoku/>
        <w:wordWrap/>
        <w:overflowPunct/>
        <w:topLinePunct w:val="0"/>
        <w:bidi w:val="0"/>
        <w:snapToGrid/>
        <w:spacing w:after="0" w:line="480" w:lineRule="exact"/>
        <w:ind w:left="0" w:leftChars="0" w:firstLine="560" w:firstLineChars="200"/>
        <w:textAlignment w:val="auto"/>
        <w:rPr>
          <w:rFonts w:hint="eastAsia"/>
          <w:color w:val="auto"/>
          <w:lang w:val="en-US" w:eastAsia="zh-CN"/>
        </w:rPr>
      </w:pPr>
      <w:r>
        <w:rPr>
          <w:rFonts w:hint="eastAsia" w:ascii="仿宋_GB2312" w:hAnsi="Calibri" w:eastAsia="仿宋_GB2312"/>
          <w:bCs/>
          <w:color w:val="auto"/>
          <w:kern w:val="2"/>
          <w:sz w:val="28"/>
          <w:szCs w:val="28"/>
          <w:highlight w:val="none"/>
          <w:lang w:val="en-US" w:eastAsia="zh-CN" w:bidi="ar-SA"/>
        </w:rPr>
        <w:t>（四）验收标准：符合国家（或行业）相关标准并通过采购人组织的验收考核。</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Calibri" w:eastAsia="仿宋_GB2312" w:cs="Times New Roman"/>
          <w:bCs/>
          <w:color w:val="auto"/>
          <w:kern w:val="2"/>
          <w:sz w:val="28"/>
          <w:szCs w:val="28"/>
          <w:highlight w:val="none"/>
          <w:lang w:val="zh-CN" w:eastAsia="zh-CN" w:bidi="ar-SA"/>
        </w:rPr>
      </w:pPr>
      <w:r>
        <w:rPr>
          <w:rFonts w:hint="eastAsia" w:ascii="仿宋_GB2312" w:hAnsi="Calibri" w:eastAsia="仿宋_GB2312" w:cs="Times New Roman"/>
          <w:bCs/>
          <w:color w:val="auto"/>
          <w:kern w:val="2"/>
          <w:sz w:val="28"/>
          <w:szCs w:val="28"/>
          <w:highlight w:val="none"/>
          <w:lang w:val="zh-CN" w:eastAsia="zh-CN" w:bidi="ar-SA"/>
        </w:rPr>
        <w:t>（五）考核要求：成交供应商在出具成果文件后，在接受复核审计时</w:t>
      </w:r>
      <w:r>
        <w:rPr>
          <w:rFonts w:hint="eastAsia" w:ascii="仿宋_GB2312" w:hAnsi="Calibri" w:eastAsia="仿宋_GB2312"/>
          <w:bCs/>
          <w:color w:val="auto"/>
          <w:kern w:val="2"/>
          <w:sz w:val="28"/>
          <w:szCs w:val="28"/>
          <w:highlight w:val="none"/>
          <w:lang w:val="en-US" w:eastAsia="zh-CN" w:bidi="ar-SA"/>
        </w:rPr>
        <w:t>（正式审计）</w:t>
      </w:r>
      <w:r>
        <w:rPr>
          <w:rFonts w:hint="eastAsia" w:ascii="仿宋_GB2312" w:hAnsi="Calibri" w:eastAsia="仿宋_GB2312" w:cs="Times New Roman"/>
          <w:bCs/>
          <w:color w:val="auto"/>
          <w:kern w:val="2"/>
          <w:sz w:val="28"/>
          <w:szCs w:val="28"/>
          <w:highlight w:val="none"/>
          <w:lang w:val="zh-CN" w:eastAsia="zh-CN" w:bidi="ar-SA"/>
        </w:rPr>
        <w:t>，误差率有以下规定：</w:t>
      </w:r>
    </w:p>
    <w:p>
      <w:pPr>
        <w:pStyle w:val="2"/>
        <w:keepNext w:val="0"/>
        <w:keepLines w:val="0"/>
        <w:pageBreakBefore w:val="0"/>
        <w:widowControl w:val="0"/>
        <w:kinsoku/>
        <w:wordWrap/>
        <w:overflowPunct/>
        <w:topLinePunct w:val="0"/>
        <w:autoSpaceDE/>
        <w:autoSpaceDN/>
        <w:bidi w:val="0"/>
        <w:adjustRightInd/>
        <w:snapToGrid/>
        <w:spacing w:after="0" w:line="480" w:lineRule="exact"/>
        <w:textAlignment w:val="auto"/>
        <w:rPr>
          <w:rFonts w:hint="eastAsia" w:ascii="仿宋_GB2312" w:hAnsi="Calibri" w:eastAsia="仿宋_GB2312" w:cs="Times New Roman"/>
          <w:bCs/>
          <w:color w:val="auto"/>
          <w:kern w:val="2"/>
          <w:sz w:val="28"/>
          <w:szCs w:val="28"/>
          <w:highlight w:val="none"/>
          <w:lang w:val="zh-CN" w:eastAsia="zh-CN" w:bidi="ar-SA"/>
        </w:rPr>
      </w:pPr>
      <w:r>
        <w:rPr>
          <w:rFonts w:hint="eastAsia" w:ascii="仿宋_GB2312" w:hAnsi="Calibri" w:eastAsia="仿宋_GB2312" w:cs="Times New Roman"/>
          <w:bCs/>
          <w:color w:val="auto"/>
          <w:kern w:val="2"/>
          <w:sz w:val="28"/>
          <w:szCs w:val="28"/>
          <w:highlight w:val="none"/>
          <w:lang w:val="en-US" w:eastAsia="zh-CN" w:bidi="ar-SA"/>
        </w:rPr>
        <w:t>1.</w:t>
      </w:r>
      <w:r>
        <w:rPr>
          <w:rFonts w:hint="eastAsia" w:ascii="仿宋_GB2312" w:hAnsi="Calibri" w:eastAsia="仿宋_GB2312" w:cs="Times New Roman"/>
          <w:bCs/>
          <w:color w:val="auto"/>
          <w:kern w:val="2"/>
          <w:sz w:val="28"/>
          <w:szCs w:val="28"/>
          <w:highlight w:val="none"/>
          <w:lang w:val="zh-CN" w:eastAsia="zh-CN" w:bidi="ar-SA"/>
        </w:rPr>
        <w:t>若审计误差超过 5 %未超过10%（含5%），则采购人有权扣除成交供应商被复核项目审计服务费的10%作为补偿金；</w:t>
      </w:r>
    </w:p>
    <w:p>
      <w:pPr>
        <w:pStyle w:val="2"/>
        <w:keepNext w:val="0"/>
        <w:keepLines w:val="0"/>
        <w:pageBreakBefore w:val="0"/>
        <w:widowControl w:val="0"/>
        <w:kinsoku/>
        <w:wordWrap/>
        <w:overflowPunct/>
        <w:topLinePunct w:val="0"/>
        <w:autoSpaceDE/>
        <w:autoSpaceDN/>
        <w:bidi w:val="0"/>
        <w:adjustRightInd/>
        <w:snapToGrid/>
        <w:spacing w:after="0" w:line="480" w:lineRule="exact"/>
        <w:textAlignment w:val="auto"/>
        <w:rPr>
          <w:rFonts w:hint="eastAsia" w:ascii="仿宋_GB2312" w:hAnsi="Calibri" w:eastAsia="仿宋_GB2312" w:cs="Times New Roman"/>
          <w:bCs/>
          <w:color w:val="auto"/>
          <w:kern w:val="2"/>
          <w:sz w:val="28"/>
          <w:szCs w:val="28"/>
          <w:highlight w:val="none"/>
          <w:lang w:val="zh-CN" w:eastAsia="zh-CN" w:bidi="ar-SA"/>
        </w:rPr>
      </w:pPr>
      <w:r>
        <w:rPr>
          <w:rFonts w:hint="eastAsia" w:ascii="仿宋_GB2312" w:hAnsi="Calibri" w:eastAsia="仿宋_GB2312" w:cs="Times New Roman"/>
          <w:bCs/>
          <w:color w:val="auto"/>
          <w:kern w:val="2"/>
          <w:sz w:val="28"/>
          <w:szCs w:val="28"/>
          <w:highlight w:val="none"/>
          <w:lang w:val="en-US" w:eastAsia="zh-CN" w:bidi="ar-SA"/>
        </w:rPr>
        <w:t>2.</w:t>
      </w:r>
      <w:r>
        <w:rPr>
          <w:rFonts w:hint="eastAsia" w:ascii="仿宋_GB2312" w:hAnsi="Calibri" w:eastAsia="仿宋_GB2312" w:cs="Times New Roman"/>
          <w:bCs/>
          <w:color w:val="auto"/>
          <w:kern w:val="2"/>
          <w:sz w:val="28"/>
          <w:szCs w:val="28"/>
          <w:highlight w:val="none"/>
          <w:lang w:val="zh-CN" w:eastAsia="zh-CN" w:bidi="ar-SA"/>
        </w:rPr>
        <w:t>若审计误差超过 10 %未超过15%（含10%），则采购人有权扣除成交供应商被复核项目审计服务费的15%作为补偿金；</w:t>
      </w:r>
    </w:p>
    <w:p>
      <w:pPr>
        <w:pStyle w:val="2"/>
        <w:keepNext w:val="0"/>
        <w:keepLines w:val="0"/>
        <w:pageBreakBefore w:val="0"/>
        <w:widowControl w:val="0"/>
        <w:kinsoku/>
        <w:wordWrap/>
        <w:overflowPunct/>
        <w:topLinePunct w:val="0"/>
        <w:autoSpaceDE/>
        <w:autoSpaceDN/>
        <w:bidi w:val="0"/>
        <w:adjustRightInd/>
        <w:snapToGrid/>
        <w:spacing w:after="0" w:line="480" w:lineRule="exact"/>
        <w:textAlignment w:val="auto"/>
        <w:rPr>
          <w:rFonts w:hint="eastAsia" w:ascii="仿宋_GB2312" w:hAnsi="Calibri" w:eastAsia="仿宋_GB2312" w:cs="Times New Roman"/>
          <w:bCs/>
          <w:color w:val="auto"/>
          <w:kern w:val="2"/>
          <w:sz w:val="28"/>
          <w:szCs w:val="28"/>
          <w:highlight w:val="none"/>
          <w:lang w:val="zh-CN" w:eastAsia="zh-CN" w:bidi="ar-SA"/>
        </w:rPr>
      </w:pPr>
      <w:r>
        <w:rPr>
          <w:rFonts w:hint="eastAsia" w:ascii="仿宋_GB2312" w:hAnsi="Calibri" w:eastAsia="仿宋_GB2312" w:cs="Times New Roman"/>
          <w:bCs/>
          <w:color w:val="auto"/>
          <w:kern w:val="2"/>
          <w:sz w:val="28"/>
          <w:szCs w:val="28"/>
          <w:highlight w:val="none"/>
          <w:lang w:val="en-US" w:eastAsia="zh-CN" w:bidi="ar-SA"/>
        </w:rPr>
        <w:t>3.</w:t>
      </w:r>
      <w:r>
        <w:rPr>
          <w:rFonts w:hint="eastAsia" w:ascii="仿宋_GB2312" w:hAnsi="Calibri" w:eastAsia="仿宋_GB2312" w:cs="Times New Roman"/>
          <w:bCs/>
          <w:color w:val="auto"/>
          <w:kern w:val="2"/>
          <w:sz w:val="28"/>
          <w:szCs w:val="28"/>
          <w:highlight w:val="none"/>
          <w:lang w:val="zh-CN" w:eastAsia="zh-CN" w:bidi="ar-SA"/>
        </w:rPr>
        <w:t>若审计误差超过 15 %未超过20%（含15%），则采购人有权扣除成交供应商被复核项目审计服务费的30%作为补偿金；</w:t>
      </w:r>
    </w:p>
    <w:p>
      <w:pPr>
        <w:pStyle w:val="2"/>
        <w:keepNext w:val="0"/>
        <w:keepLines w:val="0"/>
        <w:pageBreakBefore w:val="0"/>
        <w:widowControl w:val="0"/>
        <w:kinsoku/>
        <w:wordWrap/>
        <w:overflowPunct/>
        <w:topLinePunct w:val="0"/>
        <w:autoSpaceDE/>
        <w:autoSpaceDN/>
        <w:bidi w:val="0"/>
        <w:adjustRightInd/>
        <w:snapToGrid/>
        <w:spacing w:after="0" w:line="480" w:lineRule="exact"/>
        <w:textAlignment w:val="auto"/>
        <w:rPr>
          <w:rFonts w:hint="eastAsia" w:ascii="仿宋_GB2312" w:hAnsi="Calibri" w:eastAsia="仿宋_GB2312" w:cs="Times New Roman"/>
          <w:bCs/>
          <w:color w:val="auto"/>
          <w:kern w:val="2"/>
          <w:sz w:val="28"/>
          <w:szCs w:val="28"/>
          <w:highlight w:val="none"/>
          <w:lang w:val="zh-CN" w:eastAsia="zh-CN" w:bidi="ar-SA"/>
        </w:rPr>
      </w:pPr>
      <w:r>
        <w:rPr>
          <w:rFonts w:hint="eastAsia" w:ascii="仿宋_GB2312" w:hAnsi="Calibri" w:eastAsia="仿宋_GB2312" w:cs="Times New Roman"/>
          <w:bCs/>
          <w:color w:val="auto"/>
          <w:kern w:val="2"/>
          <w:sz w:val="28"/>
          <w:szCs w:val="28"/>
          <w:highlight w:val="none"/>
          <w:lang w:val="en-US" w:eastAsia="zh-CN" w:bidi="ar-SA"/>
        </w:rPr>
        <w:t>4.</w:t>
      </w:r>
      <w:r>
        <w:rPr>
          <w:rFonts w:hint="eastAsia" w:ascii="仿宋_GB2312" w:hAnsi="Calibri" w:eastAsia="仿宋_GB2312" w:cs="Times New Roman"/>
          <w:bCs/>
          <w:color w:val="auto"/>
          <w:kern w:val="2"/>
          <w:sz w:val="28"/>
          <w:szCs w:val="28"/>
          <w:highlight w:val="none"/>
          <w:lang w:val="zh-CN" w:eastAsia="zh-CN" w:bidi="ar-SA"/>
        </w:rPr>
        <w:t>若审计误差超过 20 %（含20%），则采购人有权扣除成交供应商被复核项目审计服务费的100%作为补偿金。</w:t>
      </w:r>
    </w:p>
    <w:p>
      <w:pPr>
        <w:pStyle w:val="3"/>
        <w:keepNext w:val="0"/>
        <w:keepLines w:val="0"/>
        <w:pageBreakBefore w:val="0"/>
        <w:widowControl w:val="0"/>
        <w:kinsoku/>
        <w:wordWrap/>
        <w:overflowPunct/>
        <w:topLinePunct w:val="0"/>
        <w:autoSpaceDE/>
        <w:autoSpaceDN/>
        <w:bidi w:val="0"/>
        <w:adjustRightInd/>
        <w:snapToGrid/>
        <w:spacing w:after="0" w:line="480" w:lineRule="exact"/>
        <w:ind w:firstLine="562" w:firstLineChars="200"/>
        <w:textAlignment w:val="auto"/>
        <w:rPr>
          <w:rFonts w:hint="eastAsia" w:ascii="仿宋_GB2312" w:hAnsi="仿宋_GB2312" w:eastAsia="仿宋_GB2312" w:cs="仿宋_GB2312"/>
          <w:b/>
          <w:bCs/>
          <w:kern w:val="2"/>
          <w:sz w:val="28"/>
          <w:szCs w:val="28"/>
          <w:lang w:val="en-US" w:eastAsia="zh-CN"/>
        </w:rPr>
      </w:pPr>
      <w:r>
        <w:rPr>
          <w:rFonts w:hint="eastAsia" w:ascii="仿宋_GB2312" w:hAnsi="仿宋_GB2312" w:eastAsia="仿宋_GB2312" w:cs="仿宋_GB2312"/>
          <w:b/>
          <w:bCs/>
          <w:kern w:val="2"/>
          <w:sz w:val="28"/>
          <w:szCs w:val="28"/>
          <w:lang w:val="en-US" w:eastAsia="zh-CN"/>
        </w:rPr>
        <w:t>四、报价要求</w:t>
      </w:r>
    </w:p>
    <w:p>
      <w:pPr>
        <w:pStyle w:val="3"/>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rPr>
        <w:t>1.本次</w:t>
      </w:r>
      <w:r>
        <w:rPr>
          <w:rFonts w:hint="eastAsia" w:ascii="仿宋_GB2312" w:hAnsi="仿宋_GB2312" w:eastAsia="仿宋_GB2312" w:cs="仿宋_GB2312"/>
          <w:kern w:val="2"/>
          <w:sz w:val="28"/>
          <w:szCs w:val="28"/>
          <w:highlight w:val="none"/>
          <w:lang w:val="en-US" w:eastAsia="zh-CN" w:bidi="ar-SA"/>
        </w:rPr>
        <w:t>供应商所报</w:t>
      </w:r>
      <w:r>
        <w:rPr>
          <w:rFonts w:hint="eastAsia" w:ascii="仿宋_GB2312" w:hAnsi="仿宋_GB2312" w:eastAsia="仿宋_GB2312" w:cs="仿宋_GB2312"/>
          <w:b/>
          <w:bCs/>
          <w:kern w:val="2"/>
          <w:sz w:val="28"/>
          <w:szCs w:val="28"/>
          <w:highlight w:val="none"/>
          <w:u w:val="single"/>
          <w:lang w:val="en-US" w:eastAsia="zh-CN" w:bidi="ar-SA"/>
        </w:rPr>
        <w:t>下浮比例</w:t>
      </w:r>
      <w:r>
        <w:rPr>
          <w:rFonts w:hint="eastAsia" w:ascii="仿宋_GB2312" w:hAnsi="仿宋_GB2312" w:eastAsia="仿宋_GB2312" w:cs="仿宋_GB2312"/>
          <w:kern w:val="2"/>
          <w:sz w:val="28"/>
          <w:szCs w:val="28"/>
          <w:highlight w:val="none"/>
          <w:lang w:val="en-US" w:eastAsia="zh-CN"/>
        </w:rPr>
        <w:t>按</w:t>
      </w:r>
      <w:r>
        <w:rPr>
          <w:rFonts w:hint="eastAsia" w:ascii="仿宋_GB2312" w:hAnsi="仿宋_GB2312" w:eastAsia="仿宋_GB2312" w:cs="仿宋_GB2312"/>
          <w:kern w:val="2"/>
          <w:sz w:val="28"/>
          <w:szCs w:val="28"/>
          <w:highlight w:val="none"/>
          <w:lang w:val="en-US" w:eastAsia="zh-CN" w:bidi="ar-SA"/>
        </w:rPr>
        <w:t>《工程造价咨询服务收费标准》(川价发〔2008〕141号)第九项审核竣工结算标准计算</w:t>
      </w:r>
      <w:r>
        <w:rPr>
          <w:rFonts w:hint="eastAsia" w:ascii="仿宋_GB2312" w:hAnsi="仿宋_GB2312" w:eastAsia="仿宋_GB2312" w:cs="仿宋_GB2312"/>
          <w:b/>
          <w:bCs/>
          <w:kern w:val="2"/>
          <w:sz w:val="28"/>
          <w:szCs w:val="28"/>
          <w:highlight w:val="none"/>
          <w:u w:val="single"/>
          <w:lang w:val="en-US" w:eastAsia="zh-CN" w:bidi="ar-SA"/>
        </w:rPr>
        <w:t>不得少于20%</w:t>
      </w:r>
      <w:r>
        <w:rPr>
          <w:rFonts w:hint="eastAsia" w:ascii="仿宋_GB2312" w:hAnsi="仿宋_GB2312" w:eastAsia="仿宋_GB2312" w:cs="仿宋_GB2312"/>
          <w:kern w:val="2"/>
          <w:sz w:val="28"/>
          <w:szCs w:val="28"/>
          <w:highlight w:val="none"/>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after="0" w:line="480" w:lineRule="exact"/>
        <w:ind w:firstLine="562" w:firstLineChars="200"/>
        <w:textAlignment w:val="auto"/>
        <w:rPr>
          <w:rFonts w:hint="default" w:ascii="仿宋_GB2312" w:hAnsi="仿宋_GB2312" w:eastAsia="仿宋_GB2312" w:cs="仿宋_GB2312"/>
          <w:b/>
          <w:bCs/>
          <w:kern w:val="2"/>
          <w:sz w:val="28"/>
          <w:szCs w:val="28"/>
          <w:highlight w:val="none"/>
          <w:lang w:val="en-US" w:eastAsia="zh-CN"/>
        </w:rPr>
      </w:pPr>
      <w:r>
        <w:rPr>
          <w:rFonts w:hint="eastAsia" w:ascii="仿宋_GB2312" w:hAnsi="仿宋_GB2312" w:eastAsia="仿宋_GB2312" w:cs="仿宋_GB2312"/>
          <w:b/>
          <w:bCs/>
          <w:kern w:val="2"/>
          <w:sz w:val="28"/>
          <w:szCs w:val="28"/>
          <w:highlight w:val="none"/>
          <w:lang w:val="en-US" w:eastAsia="zh-CN"/>
        </w:rPr>
        <w:t>2.成交供应商竞得标的成交价=</w:t>
      </w:r>
      <w:r>
        <w:rPr>
          <w:rFonts w:hint="eastAsia" w:ascii="仿宋_GB2312" w:hAnsi="仿宋_GB2312" w:eastAsia="仿宋_GB2312" w:cs="仿宋_GB2312"/>
          <w:b/>
          <w:bCs/>
          <w:kern w:val="2"/>
          <w:sz w:val="28"/>
          <w:szCs w:val="28"/>
          <w:highlight w:val="none"/>
          <w:lang w:val="en-US" w:eastAsia="zh-CN" w:bidi="ar-SA"/>
        </w:rPr>
        <w:t>（川价发﹝2008﹞141号）文件规定的收费标准</w:t>
      </w:r>
      <w:r>
        <w:rPr>
          <w:rFonts w:hint="eastAsia" w:ascii="仿宋_GB2312" w:hAnsi="仿宋_GB2312" w:eastAsia="仿宋_GB2312" w:cs="仿宋_GB2312"/>
          <w:color w:val="auto"/>
          <w:kern w:val="2"/>
          <w:sz w:val="28"/>
          <w:szCs w:val="28"/>
          <w:highlight w:val="none"/>
          <w:lang w:val="en-US" w:eastAsia="zh-CN" w:bidi="ar-SA"/>
        </w:rPr>
        <w:t>（计费基数以审定金额为准）</w:t>
      </w:r>
      <w:r>
        <w:rPr>
          <w:rFonts w:hint="eastAsia" w:ascii="仿宋_GB2312" w:hAnsi="仿宋_GB2312" w:eastAsia="仿宋_GB2312" w:cs="仿宋_GB2312"/>
          <w:b/>
          <w:bCs/>
          <w:kern w:val="2"/>
          <w:sz w:val="28"/>
          <w:szCs w:val="28"/>
          <w:highlight w:val="none"/>
          <w:lang w:val="en-US" w:eastAsia="zh-CN" w:bidi="ar-SA"/>
        </w:rPr>
        <w:t>*</w:t>
      </w:r>
      <w:r>
        <w:rPr>
          <w:rFonts w:hint="eastAsia" w:ascii="仿宋_GB2312" w:hAnsi="仿宋_GB2312" w:eastAsia="仿宋_GB2312" w:cs="仿宋_GB2312"/>
          <w:b/>
          <w:bCs/>
          <w:kern w:val="2"/>
          <w:sz w:val="28"/>
          <w:szCs w:val="28"/>
          <w:highlight w:val="none"/>
          <w:u w:val="single"/>
          <w:lang w:val="en-US" w:eastAsia="zh-CN" w:bidi="ar-SA"/>
        </w:rPr>
        <w:t>（1-竞价下浮比例）</w:t>
      </w:r>
      <w:r>
        <w:rPr>
          <w:rFonts w:hint="eastAsia" w:ascii="仿宋_GB2312" w:hAnsi="仿宋_GB2312" w:eastAsia="仿宋_GB2312" w:cs="仿宋_GB2312"/>
          <w:b/>
          <w:bCs/>
          <w:kern w:val="2"/>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仿宋_GB2312" w:hAnsi="仿宋_GB2312" w:eastAsia="仿宋_GB2312" w:cs="仿宋_GB2312"/>
          <w:color w:val="auto"/>
          <w:sz w:val="28"/>
          <w:szCs w:val="28"/>
        </w:rPr>
        <w:sectPr>
          <w:pgSz w:w="11906" w:h="16838"/>
          <w:pgMar w:top="1440" w:right="1803" w:bottom="1440" w:left="1803" w:header="851" w:footer="992" w:gutter="0"/>
          <w:cols w:space="0" w:num="1"/>
          <w:rtlGutter w:val="0"/>
          <w:docGrid w:type="lines" w:linePitch="332" w:charSpace="0"/>
        </w:sectPr>
      </w:pPr>
      <w:r>
        <w:rPr>
          <w:rFonts w:hint="eastAsia" w:ascii="仿宋_GB2312" w:hAnsi="仿宋_GB2312" w:eastAsia="仿宋_GB2312" w:cs="仿宋_GB2312"/>
          <w:b/>
          <w:bCs/>
          <w:color w:val="auto"/>
          <w:sz w:val="28"/>
          <w:szCs w:val="28"/>
          <w:lang w:eastAsia="zh-CN"/>
        </w:rPr>
        <w:t>五</w:t>
      </w: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其他未尽事宜具体要求详见第六章合同约定。</w:t>
      </w:r>
      <w:bookmarkEnd w:id="9"/>
    </w:p>
    <w:p>
      <w:pPr>
        <w:pStyle w:val="5"/>
        <w:keepNext w:val="0"/>
        <w:keepLines w:val="0"/>
        <w:spacing w:before="240" w:after="240" w:line="240" w:lineRule="auto"/>
        <w:ind w:firstLine="1205" w:firstLineChars="300"/>
        <w:jc w:val="center"/>
        <w:rPr>
          <w:rFonts w:ascii="Times New Roman" w:hAnsi="Times New Roman" w:eastAsia="仿宋_GB2312" w:cs="Times New Roman"/>
          <w:bCs w:val="0"/>
          <w:color w:val="auto"/>
          <w:sz w:val="40"/>
          <w:szCs w:val="44"/>
        </w:rPr>
      </w:pPr>
      <w:bookmarkStart w:id="12" w:name="_Toc29455"/>
      <w:bookmarkStart w:id="13" w:name="_Toc28166"/>
      <w:bookmarkStart w:id="14" w:name="_Toc13373"/>
      <w:r>
        <w:rPr>
          <w:rFonts w:ascii="Times New Roman" w:hAnsi="Times New Roman" w:eastAsia="仿宋_GB2312" w:cs="Times New Roman"/>
          <w:bCs w:val="0"/>
          <w:color w:val="auto"/>
          <w:sz w:val="40"/>
          <w:szCs w:val="44"/>
        </w:rPr>
        <w:t>第</w:t>
      </w:r>
      <w:r>
        <w:rPr>
          <w:rFonts w:hint="eastAsia" w:ascii="Times New Roman" w:hAnsi="Times New Roman" w:eastAsia="仿宋_GB2312" w:cs="Times New Roman"/>
          <w:bCs w:val="0"/>
          <w:color w:val="auto"/>
          <w:sz w:val="40"/>
          <w:szCs w:val="44"/>
          <w:lang w:val="en-US" w:eastAsia="zh-CN"/>
        </w:rPr>
        <w:t>四</w:t>
      </w:r>
      <w:r>
        <w:rPr>
          <w:rFonts w:ascii="Times New Roman" w:hAnsi="Times New Roman" w:eastAsia="仿宋_GB2312" w:cs="Times New Roman"/>
          <w:bCs w:val="0"/>
          <w:color w:val="auto"/>
          <w:sz w:val="40"/>
          <w:szCs w:val="44"/>
        </w:rPr>
        <w:t>章 竞价及采购成交</w:t>
      </w:r>
      <w:bookmarkEnd w:id="12"/>
      <w:bookmarkEnd w:id="13"/>
      <w:bookmarkEnd w:id="14"/>
    </w:p>
    <w:p>
      <w:pPr>
        <w:spacing w:line="480" w:lineRule="exact"/>
        <w:ind w:firstLine="562" w:firstLineChars="200"/>
        <w:jc w:val="left"/>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 xml:space="preserve"> 一、竞价</w:t>
      </w:r>
    </w:p>
    <w:p>
      <w:pPr>
        <w:spacing w:line="48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经资格审核合格意向供应商，可</w:t>
      </w:r>
      <w:r>
        <w:rPr>
          <w:rFonts w:hint="eastAsia" w:ascii="仿宋_GB2312" w:hAnsi="仿宋_GB2312" w:eastAsia="仿宋_GB2312" w:cs="仿宋_GB2312"/>
          <w:color w:val="auto"/>
          <w:sz w:val="28"/>
          <w:szCs w:val="28"/>
          <w:lang w:val="en-US" w:eastAsia="zh-CN"/>
        </w:rPr>
        <w:t>在参与竞价</w:t>
      </w:r>
      <w:r>
        <w:rPr>
          <w:rFonts w:hint="eastAsia" w:ascii="仿宋_GB2312" w:hAnsi="仿宋_GB2312" w:eastAsia="仿宋_GB2312" w:cs="仿宋_GB2312"/>
          <w:color w:val="auto"/>
          <w:sz w:val="28"/>
          <w:szCs w:val="28"/>
        </w:rPr>
        <w:t>，报价最低者成为成交供应商。</w:t>
      </w:r>
    </w:p>
    <w:p>
      <w:pPr>
        <w:spacing w:line="480" w:lineRule="exact"/>
        <w:ind w:firstLine="562" w:firstLineChars="200"/>
        <w:jc w:val="left"/>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 xml:space="preserve"> 二、报价的构成</w:t>
      </w:r>
    </w:p>
    <w:p>
      <w:pPr>
        <w:spacing w:line="48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本次报价包括与本采购项目有关的其他费用（包括交通费、食宿费等）的总和。  </w:t>
      </w:r>
    </w:p>
    <w:p>
      <w:pPr>
        <w:spacing w:line="480" w:lineRule="exact"/>
        <w:ind w:firstLine="562" w:firstLineChars="200"/>
        <w:jc w:val="left"/>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 xml:space="preserve"> 三、采购成交</w:t>
      </w:r>
    </w:p>
    <w:p>
      <w:pPr>
        <w:spacing w:line="480" w:lineRule="exact"/>
        <w:ind w:firstLine="560" w:firstLineChars="20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rPr>
        <w:t>（一）</w:t>
      </w:r>
      <w:r>
        <w:rPr>
          <w:rFonts w:hint="eastAsia" w:ascii="仿宋_GB2312" w:hAnsi="仿宋_GB2312" w:eastAsia="仿宋_GB2312" w:cs="仿宋_GB2312"/>
          <w:color w:val="auto"/>
          <w:kern w:val="0"/>
          <w:sz w:val="28"/>
          <w:szCs w:val="28"/>
        </w:rPr>
        <w:t>如在公告期内仅征集到1家符合要求的意向供应商，</w:t>
      </w:r>
      <w:r>
        <w:rPr>
          <w:rFonts w:hint="eastAsia" w:ascii="仿宋_GB2312" w:hAnsi="仿宋_GB2312" w:eastAsia="仿宋_GB2312" w:cs="仿宋_GB2312"/>
          <w:color w:val="auto"/>
          <w:kern w:val="0"/>
          <w:sz w:val="28"/>
          <w:szCs w:val="28"/>
          <w:lang w:val="en-US" w:eastAsia="zh-CN"/>
        </w:rPr>
        <w:t>进行</w:t>
      </w:r>
      <w:r>
        <w:rPr>
          <w:rFonts w:hint="eastAsia" w:ascii="仿宋_GB2312" w:hAnsi="仿宋_GB2312" w:eastAsia="仿宋_GB2312" w:cs="仿宋_GB2312"/>
          <w:color w:val="auto"/>
          <w:kern w:val="0"/>
          <w:sz w:val="28"/>
          <w:szCs w:val="28"/>
        </w:rPr>
        <w:t>循环挂牌。若循环挂牌，按5个工作日为一个周期进行循环，最多10个周期。</w:t>
      </w:r>
    </w:p>
    <w:p>
      <w:pPr>
        <w:spacing w:line="48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如在公告期内征集到</w:t>
      </w:r>
      <w:r>
        <w:rPr>
          <w:rFonts w:hint="eastAsia" w:ascii="仿宋_GB2312" w:hAnsi="仿宋_GB2312" w:eastAsia="仿宋_GB2312" w:cs="仿宋_GB2312"/>
          <w:color w:val="auto"/>
          <w:kern w:val="0"/>
          <w:sz w:val="28"/>
          <w:szCs w:val="28"/>
          <w:lang w:val="en-US" w:eastAsia="zh-CN"/>
        </w:rPr>
        <w:t>3</w:t>
      </w:r>
      <w:r>
        <w:rPr>
          <w:rFonts w:hint="eastAsia" w:ascii="仿宋_GB2312" w:hAnsi="仿宋_GB2312" w:eastAsia="仿宋_GB2312" w:cs="仿宋_GB2312"/>
          <w:color w:val="auto"/>
          <w:kern w:val="0"/>
          <w:sz w:val="28"/>
          <w:szCs w:val="28"/>
        </w:rPr>
        <w:t>家以上（含</w:t>
      </w:r>
      <w:r>
        <w:rPr>
          <w:rFonts w:hint="eastAsia" w:ascii="仿宋_GB2312" w:hAnsi="仿宋_GB2312" w:eastAsia="仿宋_GB2312" w:cs="仿宋_GB2312"/>
          <w:color w:val="auto"/>
          <w:kern w:val="0"/>
          <w:sz w:val="28"/>
          <w:szCs w:val="28"/>
          <w:lang w:val="en-US" w:eastAsia="zh-CN"/>
        </w:rPr>
        <w:t>3</w:t>
      </w:r>
      <w:r>
        <w:rPr>
          <w:rFonts w:hint="eastAsia" w:ascii="仿宋_GB2312" w:hAnsi="仿宋_GB2312" w:eastAsia="仿宋_GB2312" w:cs="仿宋_GB2312"/>
          <w:color w:val="auto"/>
          <w:kern w:val="0"/>
          <w:sz w:val="28"/>
          <w:szCs w:val="28"/>
        </w:rPr>
        <w:t>家）符合要求的意向供应商，则其中报价最低者确定为成交供应商。</w:t>
      </w:r>
    </w:p>
    <w:p>
      <w:pPr>
        <w:spacing w:line="48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（二）确定成交供应商后，</w:t>
      </w:r>
      <w:r>
        <w:rPr>
          <w:rFonts w:hint="eastAsia" w:ascii="仿宋_GB2312" w:hAnsi="仿宋_GB2312" w:eastAsia="仿宋_GB2312" w:cs="仿宋_GB2312"/>
          <w:color w:val="auto"/>
          <w:sz w:val="28"/>
          <w:szCs w:val="28"/>
          <w:lang w:val="en-US" w:eastAsia="zh-CN"/>
        </w:rPr>
        <w:t>由广元市利州区文旅投资集团有限公司</w:t>
      </w:r>
      <w:r>
        <w:rPr>
          <w:rFonts w:hint="eastAsia" w:ascii="仿宋_GB2312" w:hAnsi="仿宋_GB2312" w:eastAsia="仿宋_GB2312" w:cs="仿宋_GB2312"/>
          <w:color w:val="auto"/>
          <w:sz w:val="28"/>
          <w:szCs w:val="28"/>
        </w:rPr>
        <w:t>发布成交公示，公示时间为</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个工作日。</w:t>
      </w:r>
    </w:p>
    <w:p>
      <w:pPr>
        <w:spacing w:line="48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（三）成交供应商应当在成交公示结束次日到领取《成交通知书》次日起5个工作日内与采购人签订</w:t>
      </w:r>
      <w:r>
        <w:rPr>
          <w:rFonts w:hint="eastAsia" w:ascii="仿宋_GB2312" w:hAnsi="仿宋_GB2312" w:eastAsia="仿宋_GB2312" w:cs="仿宋_GB2312"/>
          <w:color w:val="auto"/>
          <w:kern w:val="0"/>
          <w:sz w:val="28"/>
          <w:szCs w:val="28"/>
        </w:rPr>
        <w:t>采购合同</w:t>
      </w:r>
      <w:r>
        <w:rPr>
          <w:rFonts w:hint="eastAsia" w:ascii="仿宋_GB2312" w:hAnsi="仿宋_GB2312" w:eastAsia="仿宋_GB2312" w:cs="仿宋_GB2312"/>
          <w:color w:val="auto"/>
          <w:sz w:val="28"/>
          <w:szCs w:val="28"/>
        </w:rPr>
        <w:t>。</w:t>
      </w:r>
    </w:p>
    <w:p>
      <w:pPr>
        <w:spacing w:line="640" w:lineRule="exact"/>
        <w:ind w:firstLine="0"/>
        <w:jc w:val="left"/>
        <w:rPr>
          <w:rFonts w:ascii="Times New Roman" w:hAnsi="Times New Roman" w:cs="Times New Roman"/>
          <w:color w:val="auto"/>
          <w:sz w:val="32"/>
          <w:szCs w:val="32"/>
        </w:rPr>
      </w:pPr>
    </w:p>
    <w:p>
      <w:pPr>
        <w:pStyle w:val="4"/>
        <w:rPr>
          <w:rFonts w:ascii="Times New Roman" w:hAnsi="Times New Roman" w:eastAsia="仿宋" w:cs="Times New Roman"/>
          <w:color w:val="auto"/>
          <w:sz w:val="40"/>
        </w:rPr>
        <w:sectPr>
          <w:pgSz w:w="11906" w:h="16838"/>
          <w:pgMar w:top="1440" w:right="1803" w:bottom="1440" w:left="1803" w:header="851" w:footer="992" w:gutter="0"/>
          <w:cols w:space="0" w:num="1"/>
          <w:rtlGutter w:val="0"/>
          <w:docGrid w:type="lines" w:linePitch="332" w:charSpace="0"/>
        </w:sectPr>
      </w:pPr>
      <w:bookmarkStart w:id="15" w:name="_Toc29274"/>
    </w:p>
    <w:p>
      <w:pPr>
        <w:pStyle w:val="5"/>
        <w:keepNext w:val="0"/>
        <w:keepLines w:val="0"/>
        <w:spacing w:before="240" w:after="240" w:line="240" w:lineRule="auto"/>
        <w:ind w:firstLine="0"/>
        <w:jc w:val="center"/>
        <w:rPr>
          <w:rFonts w:ascii="Times New Roman" w:hAnsi="Times New Roman" w:eastAsia="仿宋" w:cs="Times New Roman"/>
          <w:color w:val="auto"/>
        </w:rPr>
      </w:pPr>
      <w:bookmarkStart w:id="16" w:name="_Toc27410"/>
      <w:bookmarkStart w:id="17" w:name="_Toc1856"/>
      <w:r>
        <w:rPr>
          <w:rFonts w:ascii="Times New Roman" w:hAnsi="Times New Roman" w:eastAsia="仿宋_GB2312" w:cs="Times New Roman"/>
          <w:bCs w:val="0"/>
          <w:color w:val="auto"/>
          <w:sz w:val="40"/>
          <w:szCs w:val="44"/>
        </w:rPr>
        <w:t>第</w:t>
      </w:r>
      <w:r>
        <w:rPr>
          <w:rFonts w:hint="eastAsia" w:ascii="Times New Roman" w:hAnsi="Times New Roman" w:eastAsia="仿宋_GB2312" w:cs="Times New Roman"/>
          <w:bCs w:val="0"/>
          <w:color w:val="auto"/>
          <w:sz w:val="40"/>
          <w:szCs w:val="44"/>
          <w:lang w:val="en-US" w:eastAsia="zh-CN"/>
        </w:rPr>
        <w:t>五</w:t>
      </w:r>
      <w:r>
        <w:rPr>
          <w:rFonts w:ascii="Times New Roman" w:hAnsi="Times New Roman" w:eastAsia="仿宋_GB2312" w:cs="Times New Roman"/>
          <w:bCs w:val="0"/>
          <w:color w:val="auto"/>
          <w:sz w:val="40"/>
          <w:szCs w:val="44"/>
        </w:rPr>
        <w:t>章 响应文件相关文书格式</w:t>
      </w:r>
      <w:bookmarkEnd w:id="15"/>
      <w:bookmarkEnd w:id="16"/>
      <w:bookmarkEnd w:id="17"/>
    </w:p>
    <w:p>
      <w:pPr>
        <w:pStyle w:val="2"/>
        <w:spacing w:after="0" w:line="480" w:lineRule="exact"/>
        <w:ind w:firstLine="560" w:firstLineChars="200"/>
        <w:rPr>
          <w:rFonts w:hint="default" w:ascii="仿宋_GB2312" w:hAnsi="仿宋_GB2312" w:eastAsia="仿宋_GB2312" w:cs="仿宋_GB2312"/>
          <w:color w:val="auto"/>
          <w:kern w:val="2"/>
          <w:sz w:val="28"/>
          <w:szCs w:val="28"/>
          <w:lang w:val="en-US" w:eastAsia="zh-CN"/>
        </w:rPr>
      </w:pPr>
      <w:r>
        <w:rPr>
          <w:rFonts w:hint="eastAsia" w:ascii="仿宋_GB2312" w:hAnsi="仿宋_GB2312" w:eastAsia="仿宋_GB2312" w:cs="仿宋_GB2312"/>
          <w:color w:val="auto"/>
          <w:kern w:val="2"/>
          <w:sz w:val="28"/>
          <w:szCs w:val="28"/>
          <w:lang w:eastAsia="zh-CN"/>
        </w:rPr>
        <w:t>（</w:t>
      </w:r>
      <w:r>
        <w:rPr>
          <w:rFonts w:hint="eastAsia" w:ascii="仿宋_GB2312" w:hAnsi="仿宋_GB2312" w:eastAsia="仿宋_GB2312" w:cs="仿宋_GB2312"/>
          <w:color w:val="auto"/>
          <w:kern w:val="2"/>
          <w:sz w:val="28"/>
          <w:szCs w:val="28"/>
          <w:lang w:val="en-US" w:eastAsia="zh-CN"/>
        </w:rPr>
        <w:t>一</w:t>
      </w:r>
      <w:r>
        <w:rPr>
          <w:rFonts w:hint="eastAsia" w:ascii="仿宋_GB2312" w:hAnsi="仿宋_GB2312" w:eastAsia="仿宋_GB2312" w:cs="仿宋_GB2312"/>
          <w:color w:val="auto"/>
          <w:kern w:val="2"/>
          <w:sz w:val="28"/>
          <w:szCs w:val="28"/>
          <w:lang w:eastAsia="zh-CN"/>
        </w:rPr>
        <w:t>）</w:t>
      </w:r>
      <w:r>
        <w:rPr>
          <w:rFonts w:hint="eastAsia" w:ascii="仿宋_GB2312" w:hAnsi="仿宋_GB2312" w:eastAsia="仿宋_GB2312" w:cs="仿宋_GB2312"/>
          <w:color w:val="auto"/>
          <w:kern w:val="2"/>
          <w:sz w:val="28"/>
          <w:szCs w:val="28"/>
          <w:lang w:val="en-US" w:eastAsia="zh-CN"/>
        </w:rPr>
        <w:t>报价表</w:t>
      </w:r>
    </w:p>
    <w:p>
      <w:pPr>
        <w:pStyle w:val="2"/>
        <w:spacing w:after="0" w:line="480" w:lineRule="exact"/>
        <w:ind w:firstLine="560" w:firstLineChars="200"/>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w:t>
      </w:r>
      <w:r>
        <w:rPr>
          <w:rFonts w:hint="eastAsia" w:ascii="仿宋_GB2312" w:hAnsi="仿宋_GB2312" w:eastAsia="仿宋_GB2312" w:cs="仿宋_GB2312"/>
          <w:color w:val="auto"/>
          <w:kern w:val="2"/>
          <w:sz w:val="28"/>
          <w:szCs w:val="28"/>
          <w:lang w:val="en-US" w:eastAsia="zh-CN"/>
        </w:rPr>
        <w:t>二</w:t>
      </w:r>
      <w:r>
        <w:rPr>
          <w:rFonts w:hint="eastAsia" w:ascii="仿宋_GB2312" w:hAnsi="仿宋_GB2312" w:eastAsia="仿宋_GB2312" w:cs="仿宋_GB2312"/>
          <w:color w:val="auto"/>
          <w:kern w:val="2"/>
          <w:sz w:val="28"/>
          <w:szCs w:val="28"/>
        </w:rPr>
        <w:t>）资格性响应及采购承诺声明。</w:t>
      </w:r>
    </w:p>
    <w:p>
      <w:pPr>
        <w:spacing w:line="4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三</w:t>
      </w:r>
      <w:r>
        <w:rPr>
          <w:rFonts w:hint="eastAsia" w:ascii="仿宋_GB2312" w:hAnsi="仿宋_GB2312" w:eastAsia="仿宋_GB2312" w:cs="仿宋_GB2312"/>
          <w:color w:val="auto"/>
          <w:sz w:val="28"/>
          <w:szCs w:val="28"/>
        </w:rPr>
        <w:t>）企业基本情况表（含营业执照）。</w:t>
      </w:r>
    </w:p>
    <w:p>
      <w:pPr>
        <w:pStyle w:val="2"/>
        <w:spacing w:after="0" w:line="480" w:lineRule="exact"/>
        <w:ind w:firstLine="560" w:firstLineChars="200"/>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w:t>
      </w:r>
      <w:r>
        <w:rPr>
          <w:rFonts w:hint="eastAsia" w:ascii="仿宋_GB2312" w:hAnsi="仿宋_GB2312" w:eastAsia="仿宋_GB2312" w:cs="仿宋_GB2312"/>
          <w:color w:val="auto"/>
          <w:kern w:val="2"/>
          <w:sz w:val="28"/>
          <w:szCs w:val="28"/>
          <w:lang w:val="en-US" w:eastAsia="zh-CN"/>
        </w:rPr>
        <w:t>四</w:t>
      </w:r>
      <w:r>
        <w:rPr>
          <w:rFonts w:hint="eastAsia" w:ascii="仿宋_GB2312" w:hAnsi="仿宋_GB2312" w:eastAsia="仿宋_GB2312" w:cs="仿宋_GB2312"/>
          <w:color w:val="auto"/>
          <w:kern w:val="2"/>
          <w:sz w:val="28"/>
          <w:szCs w:val="28"/>
        </w:rPr>
        <w:t>）法定代表人授权书。</w:t>
      </w:r>
    </w:p>
    <w:p>
      <w:pPr>
        <w:spacing w:line="4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）法定代表人、授权委托人身份证</w:t>
      </w:r>
      <w:r>
        <w:rPr>
          <w:rFonts w:hint="eastAsia" w:ascii="仿宋_GB2312" w:hAnsi="仿宋_GB2312" w:eastAsia="仿宋_GB2312" w:cs="仿宋_GB2312"/>
          <w:color w:val="auto"/>
          <w:sz w:val="28"/>
          <w:szCs w:val="28"/>
          <w:lang w:eastAsia="zh-CN"/>
        </w:rPr>
        <w:t>（扫描</w:t>
      </w:r>
      <w:r>
        <w:rPr>
          <w:rFonts w:hint="eastAsia" w:ascii="仿宋_GB2312" w:hAnsi="仿宋_GB2312" w:eastAsia="仿宋_GB2312" w:cs="仿宋_GB2312"/>
          <w:color w:val="auto"/>
          <w:sz w:val="28"/>
          <w:szCs w:val="28"/>
        </w:rPr>
        <w:t>件</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p>
    <w:p>
      <w:pPr>
        <w:spacing w:line="4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六</w:t>
      </w:r>
      <w:r>
        <w:rPr>
          <w:rFonts w:hint="eastAsia" w:ascii="仿宋_GB2312" w:hAnsi="仿宋_GB2312" w:eastAsia="仿宋_GB2312" w:cs="仿宋_GB2312"/>
          <w:color w:val="auto"/>
          <w:sz w:val="28"/>
          <w:szCs w:val="28"/>
        </w:rPr>
        <w:t>）竞价承诺函。</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（七）供应商须提供两个房建工程审计项目业绩的证明材料（相关证明材料须包含审计合同、审计报告）。</w:t>
      </w:r>
    </w:p>
    <w:p>
      <w:pPr>
        <w:pStyle w:val="3"/>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（八）其他材料。</w:t>
      </w:r>
    </w:p>
    <w:p>
      <w:pPr>
        <w:pStyle w:val="3"/>
      </w:pPr>
    </w:p>
    <w:p>
      <w:pPr>
        <w:pStyle w:val="2"/>
        <w:rPr>
          <w:color w:val="auto"/>
        </w:rPr>
      </w:pPr>
    </w:p>
    <w:p>
      <w:pPr>
        <w:pStyle w:val="2"/>
        <w:rPr>
          <w:rFonts w:ascii="Times New Roman" w:hAnsi="Times New Roman" w:cs="Times New Roman"/>
          <w:color w:val="auto"/>
        </w:rPr>
      </w:pPr>
    </w:p>
    <w:p>
      <w:pPr>
        <w:spacing w:afterLines="50" w:line="640" w:lineRule="exact"/>
        <w:ind w:firstLine="0"/>
        <w:jc w:val="center"/>
        <w:rPr>
          <w:rFonts w:ascii="Times New Roman" w:hAnsi="Times New Roman" w:cs="Times New Roman"/>
          <w:b/>
          <w:color w:val="auto"/>
          <w:sz w:val="36"/>
          <w:szCs w:val="32"/>
        </w:rPr>
        <w:sectPr>
          <w:pgSz w:w="11906" w:h="16838"/>
          <w:pgMar w:top="1440" w:right="1803" w:bottom="1440" w:left="1803" w:header="851" w:footer="992" w:gutter="0"/>
          <w:cols w:space="0" w:num="1"/>
          <w:rtlGutter w:val="0"/>
          <w:docGrid w:type="lines" w:linePitch="332" w:charSpace="0"/>
        </w:sectPr>
      </w:pPr>
    </w:p>
    <w:p>
      <w:pPr>
        <w:autoSpaceDE w:val="0"/>
        <w:autoSpaceDN w:val="0"/>
        <w:adjustRightInd w:val="0"/>
        <w:jc w:val="center"/>
        <w:rPr>
          <w:kern w:val="0"/>
          <w:highlight w:val="none"/>
        </w:rPr>
      </w:pPr>
      <w:r>
        <w:rPr>
          <w:rFonts w:hint="eastAsia" w:ascii="仿宋_GB2312" w:hAnsi="仿宋" w:eastAsia="仿宋_GB2312"/>
          <w:b/>
          <w:sz w:val="36"/>
          <w:highlight w:val="none"/>
        </w:rPr>
        <w:t>封面</w:t>
      </w:r>
    </w:p>
    <w:p>
      <w:pPr>
        <w:autoSpaceDE w:val="0"/>
        <w:autoSpaceDN w:val="0"/>
        <w:adjustRightInd w:val="0"/>
        <w:jc w:val="left"/>
        <w:rPr>
          <w:kern w:val="0"/>
          <w:highlight w:val="none"/>
        </w:rPr>
      </w:pPr>
    </w:p>
    <w:p>
      <w:pPr>
        <w:rPr>
          <w:rFonts w:ascii="仿宋" w:hAnsi="仿宋"/>
          <w:bCs/>
          <w:highlight w:val="none"/>
        </w:rPr>
      </w:pPr>
    </w:p>
    <w:p>
      <w:pPr>
        <w:rPr>
          <w:rFonts w:ascii="仿宋" w:hAnsi="仿宋"/>
          <w:bCs/>
          <w:szCs w:val="21"/>
          <w:highlight w:val="none"/>
        </w:rPr>
      </w:pPr>
    </w:p>
    <w:p>
      <w:pPr>
        <w:rPr>
          <w:rFonts w:ascii="仿宋" w:hAnsi="仿宋"/>
          <w:bCs/>
          <w:szCs w:val="21"/>
          <w:highlight w:val="none"/>
        </w:rPr>
      </w:pPr>
    </w:p>
    <w:p>
      <w:pPr>
        <w:rPr>
          <w:rFonts w:ascii="仿宋" w:hAnsi="仿宋"/>
          <w:bCs/>
          <w:szCs w:val="21"/>
          <w:highlight w:val="none"/>
        </w:rPr>
      </w:pPr>
    </w:p>
    <w:p>
      <w:pPr>
        <w:rPr>
          <w:rFonts w:ascii="仿宋" w:hAnsi="仿宋"/>
          <w:bCs/>
          <w:szCs w:val="21"/>
          <w:highlight w:val="none"/>
        </w:rPr>
      </w:pPr>
    </w:p>
    <w:p>
      <w:pPr>
        <w:jc w:val="left"/>
        <w:rPr>
          <w:rFonts w:ascii="黑体" w:hAnsi="黑体" w:eastAsia="黑体"/>
          <w:highlight w:val="none"/>
        </w:rPr>
      </w:pPr>
    </w:p>
    <w:p>
      <w:pPr>
        <w:jc w:val="center"/>
        <w:rPr>
          <w:rFonts w:ascii="黑体" w:hAnsi="黑体" w:eastAsia="黑体"/>
          <w:spacing w:val="78"/>
          <w:sz w:val="72"/>
          <w:szCs w:val="84"/>
          <w:highlight w:val="none"/>
        </w:rPr>
      </w:pPr>
      <w:r>
        <w:rPr>
          <w:rFonts w:hint="eastAsia" w:ascii="黑体" w:hAnsi="黑体" w:eastAsia="黑体"/>
          <w:spacing w:val="78"/>
          <w:sz w:val="72"/>
          <w:szCs w:val="84"/>
          <w:highlight w:val="none"/>
        </w:rPr>
        <w:t>响应文件</w:t>
      </w:r>
    </w:p>
    <w:p>
      <w:pPr>
        <w:ind w:firstLine="627" w:firstLineChars="196"/>
        <w:jc w:val="left"/>
        <w:rPr>
          <w:rFonts w:ascii="华文中宋" w:hAnsi="华文中宋" w:eastAsia="华文中宋"/>
          <w:bCs/>
          <w:sz w:val="32"/>
          <w:szCs w:val="32"/>
          <w:highlight w:val="none"/>
        </w:rPr>
      </w:pPr>
    </w:p>
    <w:p>
      <w:pPr>
        <w:ind w:firstLine="627" w:firstLineChars="196"/>
        <w:jc w:val="left"/>
        <w:rPr>
          <w:rFonts w:ascii="华文中宋" w:hAnsi="华文中宋" w:eastAsia="华文中宋"/>
          <w:bCs/>
          <w:sz w:val="32"/>
          <w:szCs w:val="32"/>
          <w:highlight w:val="none"/>
        </w:rPr>
      </w:pPr>
    </w:p>
    <w:p>
      <w:pPr>
        <w:ind w:firstLine="627" w:firstLineChars="196"/>
        <w:jc w:val="left"/>
        <w:rPr>
          <w:rFonts w:ascii="华文中宋" w:hAnsi="华文中宋" w:eastAsia="华文中宋"/>
          <w:bCs/>
          <w:sz w:val="32"/>
          <w:szCs w:val="32"/>
          <w:highlight w:val="none"/>
        </w:rPr>
      </w:pPr>
    </w:p>
    <w:p>
      <w:pPr>
        <w:ind w:firstLine="641" w:firstLineChars="200"/>
        <w:jc w:val="left"/>
        <w:rPr>
          <w:rFonts w:ascii="华文中宋" w:hAnsi="华文中宋" w:eastAsia="华文中宋"/>
          <w:b/>
          <w:bCs/>
          <w:sz w:val="32"/>
          <w:szCs w:val="32"/>
          <w:highlight w:val="none"/>
        </w:rPr>
      </w:pPr>
    </w:p>
    <w:p>
      <w:pPr>
        <w:jc w:val="left"/>
        <w:rPr>
          <w:rFonts w:ascii="楷体_GB2312" w:hAnsi="华文中宋" w:eastAsia="楷体_GB2312"/>
          <w:b/>
          <w:bCs/>
          <w:sz w:val="32"/>
          <w:szCs w:val="32"/>
          <w:highlight w:val="none"/>
        </w:rPr>
      </w:pPr>
      <w:r>
        <w:rPr>
          <w:rFonts w:hint="eastAsia" w:ascii="楷体_GB2312" w:hAnsi="华文中宋" w:eastAsia="楷体_GB2312"/>
          <w:b/>
          <w:bCs/>
          <w:sz w:val="32"/>
          <w:szCs w:val="32"/>
          <w:highlight w:val="none"/>
        </w:rPr>
        <w:t>项目名称：</w:t>
      </w:r>
      <w:r>
        <w:rPr>
          <w:rFonts w:hint="eastAsia" w:ascii="楷体_GB2312" w:hAnsi="华文中宋" w:eastAsia="楷体_GB2312"/>
          <w:b/>
          <w:bCs/>
          <w:sz w:val="32"/>
          <w:szCs w:val="32"/>
          <w:highlight w:val="none"/>
          <w:u w:val="single"/>
        </w:rPr>
        <w:t xml:space="preserve">                                </w:t>
      </w:r>
    </w:p>
    <w:p>
      <w:pPr>
        <w:rPr>
          <w:rFonts w:ascii="楷体_GB2312" w:hAnsi="华文中宋" w:eastAsia="楷体_GB2312"/>
          <w:b/>
          <w:bCs/>
          <w:sz w:val="36"/>
          <w:highlight w:val="none"/>
        </w:rPr>
      </w:pPr>
      <w:r>
        <w:rPr>
          <w:rFonts w:hint="eastAsia" w:ascii="楷体_GB2312" w:hAnsi="华文中宋" w:eastAsia="楷体_GB2312"/>
          <w:b/>
          <w:bCs/>
          <w:sz w:val="32"/>
          <w:szCs w:val="32"/>
          <w:highlight w:val="none"/>
        </w:rPr>
        <w:t>项目编号：</w:t>
      </w:r>
      <w:r>
        <w:rPr>
          <w:rFonts w:hint="eastAsia" w:ascii="楷体_GB2312" w:hAnsi="华文中宋" w:eastAsia="楷体_GB2312"/>
          <w:b/>
          <w:bCs/>
          <w:sz w:val="32"/>
          <w:szCs w:val="32"/>
          <w:highlight w:val="none"/>
          <w:u w:val="single"/>
        </w:rPr>
        <w:t xml:space="preserve">                                </w:t>
      </w:r>
    </w:p>
    <w:p>
      <w:pPr>
        <w:jc w:val="left"/>
        <w:rPr>
          <w:rFonts w:ascii="楷体_GB2312" w:hAnsi="华文中宋" w:eastAsia="楷体_GB2312"/>
          <w:b/>
          <w:bCs/>
          <w:sz w:val="32"/>
          <w:szCs w:val="32"/>
          <w:highlight w:val="none"/>
          <w:u w:val="single"/>
        </w:rPr>
      </w:pPr>
      <w:r>
        <w:rPr>
          <w:rFonts w:hint="eastAsia" w:ascii="楷体_GB2312" w:hAnsi="华文中宋" w:eastAsia="楷体_GB2312"/>
          <w:b/>
          <w:bCs/>
          <w:sz w:val="32"/>
          <w:szCs w:val="32"/>
          <w:highlight w:val="none"/>
        </w:rPr>
        <w:t>供应商名称：</w:t>
      </w:r>
      <w:r>
        <w:rPr>
          <w:rFonts w:hint="eastAsia" w:ascii="楷体_GB2312" w:hAnsi="华文中宋" w:eastAsia="楷体_GB2312"/>
          <w:b/>
          <w:bCs/>
          <w:sz w:val="32"/>
          <w:szCs w:val="32"/>
          <w:highlight w:val="none"/>
          <w:u w:val="single"/>
        </w:rPr>
        <w:t xml:space="preserve">                              </w:t>
      </w:r>
    </w:p>
    <w:p>
      <w:pPr>
        <w:ind w:firstLine="627" w:firstLineChars="196"/>
        <w:jc w:val="left"/>
        <w:rPr>
          <w:rFonts w:ascii="华文中宋" w:hAnsi="华文中宋" w:eastAsia="华文中宋"/>
          <w:bCs/>
          <w:sz w:val="32"/>
          <w:szCs w:val="32"/>
          <w:highlight w:val="none"/>
          <w:u w:val="single"/>
        </w:rPr>
      </w:pPr>
    </w:p>
    <w:p>
      <w:pPr>
        <w:ind w:firstLine="627" w:firstLineChars="196"/>
        <w:jc w:val="left"/>
        <w:rPr>
          <w:rFonts w:ascii="华文中宋" w:hAnsi="华文中宋" w:eastAsia="华文中宋"/>
          <w:bCs/>
          <w:sz w:val="32"/>
          <w:szCs w:val="32"/>
          <w:highlight w:val="none"/>
          <w:u w:val="single"/>
        </w:rPr>
      </w:pPr>
    </w:p>
    <w:p>
      <w:pPr>
        <w:spacing w:line="640" w:lineRule="exact"/>
        <w:ind w:firstLine="0"/>
        <w:jc w:val="center"/>
        <w:rPr>
          <w:rFonts w:ascii="楷体_GB2312" w:hAnsi="华文中宋" w:eastAsia="楷体_GB2312"/>
          <w:b/>
          <w:bCs/>
          <w:sz w:val="32"/>
          <w:szCs w:val="32"/>
          <w:highlight w:val="none"/>
        </w:rPr>
        <w:sectPr>
          <w:pgSz w:w="11906" w:h="16838"/>
          <w:pgMar w:top="1440" w:right="1800" w:bottom="1440" w:left="1800" w:header="851" w:footer="992" w:gutter="0"/>
          <w:pgNumType w:fmt="decimal"/>
          <w:cols w:space="425" w:num="1"/>
          <w:docGrid w:type="lines" w:linePitch="312" w:charSpace="0"/>
        </w:sectPr>
      </w:pPr>
      <w:r>
        <w:rPr>
          <w:rFonts w:hint="eastAsia" w:ascii="楷体_GB2312" w:hAnsi="华文中宋" w:eastAsia="楷体_GB2312"/>
          <w:b/>
          <w:bCs/>
          <w:sz w:val="32"/>
          <w:szCs w:val="32"/>
          <w:highlight w:val="none"/>
        </w:rPr>
        <w:t>日期：    年  月  日</w:t>
      </w:r>
    </w:p>
    <w:tbl>
      <w:tblPr>
        <w:tblStyle w:val="19"/>
        <w:tblW w:w="0" w:type="auto"/>
        <w:tblInd w:w="93" w:type="dxa"/>
        <w:tblLayout w:type="fixed"/>
        <w:tblCellMar>
          <w:top w:w="0" w:type="dxa"/>
          <w:left w:w="108" w:type="dxa"/>
          <w:bottom w:w="0" w:type="dxa"/>
          <w:right w:w="108" w:type="dxa"/>
        </w:tblCellMar>
      </w:tblPr>
      <w:tblGrid>
        <w:gridCol w:w="9229"/>
      </w:tblGrid>
      <w:tr>
        <w:tblPrEx>
          <w:tblCellMar>
            <w:top w:w="0" w:type="dxa"/>
            <w:left w:w="108" w:type="dxa"/>
            <w:bottom w:w="0" w:type="dxa"/>
            <w:right w:w="108" w:type="dxa"/>
          </w:tblCellMar>
        </w:tblPrEx>
        <w:trPr>
          <w:trHeight w:val="224" w:hRule="atLeast"/>
        </w:trPr>
        <w:tc>
          <w:tcPr>
            <w:tcW w:w="9229" w:type="dxa"/>
            <w:tcBorders>
              <w:top w:val="nil"/>
              <w:left w:val="nil"/>
              <w:bottom w:val="nil"/>
              <w:right w:val="nil"/>
            </w:tcBorders>
            <w:noWrap w:val="0"/>
            <w:vAlign w:val="center"/>
          </w:tcPr>
          <w:p>
            <w:pPr>
              <w:widowControl/>
              <w:spacing w:line="240" w:lineRule="atLeast"/>
              <w:ind w:left="0" w:leftChars="0" w:firstLine="0" w:firstLineChars="0"/>
              <w:rPr>
                <w:rFonts w:hint="default" w:ascii="宋体" w:hAnsi="宋体" w:eastAsia="仿宋" w:cs="宋体"/>
                <w:b/>
                <w:bCs/>
                <w:color w:val="000000"/>
                <w:kern w:val="0"/>
                <w:sz w:val="36"/>
                <w:szCs w:val="36"/>
                <w:lang w:val="en-US" w:eastAsia="zh-CN"/>
              </w:rPr>
            </w:pPr>
            <w:r>
              <w:rPr>
                <w:rFonts w:hint="eastAsia" w:ascii="宋体" w:hAnsi="宋体" w:cs="宋体"/>
                <w:b/>
                <w:bCs/>
                <w:color w:val="000000"/>
                <w:kern w:val="0"/>
                <w:sz w:val="36"/>
                <w:szCs w:val="36"/>
                <w:lang w:val="en-US" w:eastAsia="zh-CN"/>
              </w:rPr>
              <w:t>格式1</w:t>
            </w:r>
          </w:p>
        </w:tc>
      </w:tr>
    </w:tbl>
    <w:p>
      <w:pPr>
        <w:tabs>
          <w:tab w:val="left" w:pos="1635"/>
        </w:tabs>
        <w:spacing w:line="240" w:lineRule="auto"/>
        <w:ind w:firstLine="723" w:firstLineChars="200"/>
        <w:jc w:val="center"/>
        <w:rPr>
          <w:rFonts w:hint="eastAsia" w:ascii="仿宋" w:hAnsi="仿宋" w:eastAsia="仿宋" w:cs="仿宋"/>
          <w:b/>
          <w:bCs w:val="0"/>
          <w:color w:val="auto"/>
          <w:sz w:val="36"/>
          <w:szCs w:val="36"/>
          <w:u w:val="none"/>
          <w:lang w:val="en-US" w:eastAsia="zh-CN"/>
        </w:rPr>
      </w:pPr>
      <w:r>
        <w:rPr>
          <w:rFonts w:hint="eastAsia" w:ascii="仿宋" w:hAnsi="仿宋" w:eastAsia="仿宋" w:cs="仿宋"/>
          <w:b/>
          <w:bCs w:val="0"/>
          <w:color w:val="auto"/>
          <w:sz w:val="36"/>
          <w:szCs w:val="36"/>
          <w:u w:val="none"/>
          <w:lang w:val="en-US" w:eastAsia="zh-CN"/>
        </w:rPr>
        <w:t>报价表</w:t>
      </w:r>
    </w:p>
    <w:p>
      <w:pPr>
        <w:tabs>
          <w:tab w:val="left" w:pos="1635"/>
        </w:tabs>
        <w:spacing w:line="240" w:lineRule="auto"/>
        <w:ind w:left="0" w:leftChars="0" w:firstLine="0" w:firstLineChars="0"/>
        <w:rPr>
          <w:rFonts w:hint="eastAsia" w:ascii="楷体_GB2312" w:hAnsi="楷体" w:eastAsia="楷体_GB2312"/>
          <w:sz w:val="28"/>
          <w:szCs w:val="28"/>
        </w:rPr>
      </w:pPr>
      <w:r>
        <w:rPr>
          <w:rFonts w:hint="eastAsia" w:ascii="楷体_GB2312" w:hAnsi="楷体" w:eastAsia="楷体_GB2312"/>
          <w:bCs/>
          <w:color w:val="auto"/>
          <w:sz w:val="28"/>
          <w:szCs w:val="28"/>
          <w:u w:val="none"/>
          <w:lang w:val="en-US" w:eastAsia="zh-CN"/>
        </w:rPr>
        <w:t>广元市利州区文旅投资集团有限公司</w:t>
      </w:r>
      <w:r>
        <w:rPr>
          <w:rFonts w:hint="eastAsia" w:ascii="楷体_GB2312" w:hAnsi="楷体" w:eastAsia="楷体_GB2312"/>
          <w:sz w:val="28"/>
          <w:szCs w:val="28"/>
        </w:rPr>
        <w:t>：</w:t>
      </w:r>
    </w:p>
    <w:p>
      <w:pPr>
        <w:tabs>
          <w:tab w:val="left" w:pos="1635"/>
        </w:tabs>
        <w:spacing w:line="240" w:lineRule="auto"/>
        <w:rPr>
          <w:rFonts w:hint="eastAsia" w:ascii="楷体_GB2312" w:hAnsi="楷体" w:eastAsia="楷体_GB2312"/>
          <w:sz w:val="28"/>
          <w:szCs w:val="28"/>
        </w:rPr>
      </w:pPr>
      <w:r>
        <w:rPr>
          <w:rFonts w:hint="eastAsia" w:ascii="楷体_GB2312" w:hAnsi="楷体" w:eastAsia="楷体_GB2312"/>
          <w:sz w:val="28"/>
          <w:szCs w:val="28"/>
        </w:rPr>
        <w:t xml:space="preserve"> 1．我方己仔细研究了</w:t>
      </w:r>
      <w:r>
        <w:rPr>
          <w:rFonts w:hint="eastAsia" w:ascii="楷体_GB2312" w:hAnsi="楷体" w:eastAsia="楷体_GB2312"/>
          <w:sz w:val="28"/>
          <w:szCs w:val="28"/>
          <w:u w:val="single"/>
        </w:rPr>
        <w:t xml:space="preserve">    </w:t>
      </w:r>
      <w:r>
        <w:rPr>
          <w:rFonts w:hint="eastAsia" w:ascii="楷体_GB2312" w:hAnsi="楷体" w:eastAsia="楷体_GB2312"/>
          <w:sz w:val="28"/>
          <w:szCs w:val="28"/>
          <w:u w:val="single"/>
          <w:lang w:val="en-US" w:eastAsia="zh-CN"/>
        </w:rPr>
        <w:t xml:space="preserve">      </w:t>
      </w:r>
      <w:r>
        <w:rPr>
          <w:rFonts w:hint="eastAsia" w:ascii="楷体_GB2312" w:hAnsi="楷体" w:eastAsia="楷体_GB2312"/>
          <w:sz w:val="28"/>
          <w:szCs w:val="28"/>
          <w:u w:val="single"/>
        </w:rPr>
        <w:t xml:space="preserve"> （</w:t>
      </w:r>
      <w:r>
        <w:rPr>
          <w:rFonts w:hint="eastAsia" w:ascii="楷体_GB2312" w:hAnsi="楷体" w:eastAsia="楷体_GB2312"/>
          <w:sz w:val="28"/>
          <w:szCs w:val="28"/>
        </w:rPr>
        <w:t>项目名称）招标文件的全部内容，</w:t>
      </w:r>
      <w:r>
        <w:rPr>
          <w:rFonts w:hint="eastAsia" w:ascii="楷体_GB2312" w:hAnsi="楷体" w:eastAsia="楷体_GB2312"/>
          <w:sz w:val="28"/>
          <w:szCs w:val="28"/>
          <w:lang w:val="en-US" w:eastAsia="zh-CN"/>
        </w:rPr>
        <w:t>总报价下浮</w:t>
      </w:r>
      <w:r>
        <w:rPr>
          <w:rFonts w:hint="eastAsia" w:ascii="楷体_GB2312" w:hAnsi="楷体" w:eastAsia="楷体_GB2312"/>
          <w:sz w:val="28"/>
          <w:szCs w:val="28"/>
          <w:u w:val="single"/>
          <w:lang w:val="en-US" w:eastAsia="zh-CN"/>
        </w:rPr>
        <w:t xml:space="preserve">       </w:t>
      </w:r>
      <w:r>
        <w:rPr>
          <w:rFonts w:hint="eastAsia" w:ascii="楷体_GB2312" w:hAnsi="楷体" w:eastAsia="楷体_GB2312"/>
          <w:sz w:val="28"/>
          <w:szCs w:val="28"/>
          <w:u w:val="none"/>
          <w:lang w:val="en-US" w:eastAsia="zh-CN"/>
        </w:rPr>
        <w:t>作为本次投标报价</w:t>
      </w:r>
      <w:r>
        <w:rPr>
          <w:rFonts w:hint="eastAsia" w:ascii="楷体_GB2312" w:hAnsi="楷体" w:eastAsia="楷体_GB2312"/>
          <w:sz w:val="28"/>
          <w:szCs w:val="28"/>
        </w:rPr>
        <w:t>，按合同约定实施和完成</w:t>
      </w:r>
      <w:r>
        <w:rPr>
          <w:rFonts w:hint="eastAsia" w:ascii="楷体_GB2312" w:hAnsi="楷体" w:eastAsia="楷体_GB2312"/>
          <w:sz w:val="28"/>
          <w:szCs w:val="28"/>
          <w:lang w:val="en-US" w:eastAsia="zh-CN"/>
        </w:rPr>
        <w:t>审计</w:t>
      </w:r>
      <w:r>
        <w:rPr>
          <w:rFonts w:hint="eastAsia" w:ascii="楷体_GB2312" w:hAnsi="楷体" w:eastAsia="楷体_GB2312"/>
          <w:sz w:val="28"/>
          <w:szCs w:val="28"/>
        </w:rPr>
        <w:t>任务。</w:t>
      </w:r>
    </w:p>
    <w:p>
      <w:pPr>
        <w:tabs>
          <w:tab w:val="left" w:pos="1635"/>
        </w:tabs>
        <w:spacing w:line="240" w:lineRule="atLeast"/>
        <w:rPr>
          <w:rFonts w:hint="eastAsia" w:ascii="楷体_GB2312" w:hAnsi="楷体" w:eastAsia="楷体_GB2312"/>
          <w:sz w:val="28"/>
          <w:szCs w:val="28"/>
        </w:rPr>
      </w:pPr>
      <w:r>
        <w:rPr>
          <w:rFonts w:hint="eastAsia" w:ascii="楷体_GB2312" w:hAnsi="楷体" w:eastAsia="楷体_GB2312"/>
          <w:sz w:val="28"/>
          <w:szCs w:val="28"/>
        </w:rPr>
        <w:t>2．我方承诺在投标有效期内不修改、撤销投标文件。</w:t>
      </w:r>
    </w:p>
    <w:p>
      <w:pPr>
        <w:tabs>
          <w:tab w:val="left" w:pos="1635"/>
        </w:tabs>
        <w:spacing w:line="240" w:lineRule="atLeast"/>
        <w:rPr>
          <w:rFonts w:hint="eastAsia" w:ascii="楷体_GB2312" w:hAnsi="楷体" w:eastAsia="楷体_GB2312"/>
          <w:sz w:val="28"/>
          <w:szCs w:val="28"/>
        </w:rPr>
      </w:pPr>
      <w:r>
        <w:rPr>
          <w:rFonts w:hint="eastAsia" w:ascii="楷体_GB2312" w:hAnsi="楷体" w:eastAsia="楷体_GB2312"/>
          <w:sz w:val="28"/>
          <w:szCs w:val="28"/>
        </w:rPr>
        <w:t>3．如我方中标：</w:t>
      </w:r>
    </w:p>
    <w:p>
      <w:pPr>
        <w:tabs>
          <w:tab w:val="left" w:pos="1635"/>
        </w:tabs>
        <w:spacing w:line="240" w:lineRule="atLeast"/>
        <w:rPr>
          <w:rFonts w:hint="eastAsia" w:ascii="楷体_GB2312" w:hAnsi="楷体" w:eastAsia="楷体_GB2312"/>
          <w:sz w:val="28"/>
          <w:szCs w:val="28"/>
        </w:rPr>
      </w:pPr>
      <w:r>
        <w:rPr>
          <w:rFonts w:hint="eastAsia" w:ascii="楷体_GB2312" w:hAnsi="楷体" w:eastAsia="楷体_GB2312"/>
          <w:sz w:val="28"/>
          <w:szCs w:val="28"/>
        </w:rPr>
        <w:t>(l）我方承诺在收到中标通知书后，在中标通知书规定的期限内与你方签订合同。</w:t>
      </w:r>
    </w:p>
    <w:p>
      <w:pPr>
        <w:tabs>
          <w:tab w:val="left" w:pos="1635"/>
        </w:tabs>
        <w:spacing w:line="240" w:lineRule="atLeast"/>
        <w:rPr>
          <w:rFonts w:hint="eastAsia" w:ascii="楷体_GB2312" w:hAnsi="楷体" w:eastAsia="楷体_GB2312"/>
          <w:sz w:val="28"/>
          <w:szCs w:val="28"/>
        </w:rPr>
      </w:pPr>
      <w:r>
        <w:rPr>
          <w:rFonts w:hint="eastAsia" w:ascii="楷体_GB2312" w:hAnsi="楷体" w:eastAsia="楷体_GB2312"/>
          <w:sz w:val="28"/>
          <w:szCs w:val="28"/>
        </w:rPr>
        <w:t>(2）随同本投标函递交的投标函附录属于合同文件的组成部分。</w:t>
      </w:r>
    </w:p>
    <w:p>
      <w:pPr>
        <w:tabs>
          <w:tab w:val="left" w:pos="1635"/>
        </w:tabs>
        <w:spacing w:line="240" w:lineRule="atLeast"/>
        <w:rPr>
          <w:rFonts w:hint="eastAsia" w:ascii="楷体_GB2312" w:hAnsi="楷体" w:eastAsia="楷体_GB2312"/>
          <w:sz w:val="28"/>
          <w:szCs w:val="28"/>
        </w:rPr>
      </w:pPr>
      <w:r>
        <w:rPr>
          <w:rFonts w:hint="eastAsia" w:ascii="楷体_GB2312" w:hAnsi="楷体" w:eastAsia="楷体_GB2312"/>
          <w:sz w:val="28"/>
          <w:szCs w:val="28"/>
        </w:rPr>
        <w:t>(3）我方承诺按照招标文件规定向你方递交履约担保。</w:t>
      </w:r>
    </w:p>
    <w:p>
      <w:pPr>
        <w:tabs>
          <w:tab w:val="left" w:pos="1635"/>
        </w:tabs>
        <w:spacing w:line="240" w:lineRule="atLeast"/>
        <w:rPr>
          <w:rFonts w:hint="eastAsia" w:ascii="楷体_GB2312" w:hAnsi="楷体" w:eastAsia="楷体_GB2312"/>
          <w:sz w:val="28"/>
          <w:szCs w:val="28"/>
        </w:rPr>
      </w:pPr>
      <w:r>
        <w:rPr>
          <w:rFonts w:hint="eastAsia" w:ascii="楷体_GB2312" w:hAnsi="楷体" w:eastAsia="楷体_GB2312"/>
          <w:sz w:val="28"/>
          <w:szCs w:val="28"/>
        </w:rPr>
        <w:t>(4）我方承诺在合同约定的期限内完成并移交全部合同工程。</w:t>
      </w:r>
    </w:p>
    <w:p>
      <w:pPr>
        <w:tabs>
          <w:tab w:val="left" w:pos="1635"/>
        </w:tabs>
        <w:spacing w:line="240" w:lineRule="atLeast"/>
        <w:rPr>
          <w:rFonts w:ascii="楷体_GB2312" w:hAnsi="楷体" w:eastAsia="楷体_GB2312"/>
          <w:sz w:val="28"/>
          <w:szCs w:val="28"/>
        </w:rPr>
      </w:pPr>
    </w:p>
    <w:p>
      <w:pPr>
        <w:tabs>
          <w:tab w:val="left" w:pos="1635"/>
        </w:tabs>
        <w:spacing w:line="240" w:lineRule="atLeast"/>
        <w:rPr>
          <w:rFonts w:hint="eastAsia" w:ascii="楷体_GB2312" w:hAnsi="楷体" w:eastAsia="楷体_GB2312"/>
          <w:sz w:val="28"/>
          <w:szCs w:val="28"/>
        </w:rPr>
      </w:pPr>
      <w:r>
        <w:rPr>
          <w:rFonts w:hint="eastAsia" w:ascii="楷体_GB2312" w:hAnsi="楷体" w:eastAsia="楷体_GB2312"/>
          <w:sz w:val="28"/>
          <w:szCs w:val="28"/>
          <w:lang w:eastAsia="zh-CN"/>
        </w:rPr>
        <w:t>竞争性谈判</w:t>
      </w:r>
      <w:r>
        <w:rPr>
          <w:rFonts w:hint="eastAsia" w:ascii="楷体_GB2312" w:hAnsi="楷体" w:eastAsia="楷体_GB2312"/>
          <w:sz w:val="28"/>
          <w:szCs w:val="28"/>
        </w:rPr>
        <w:t>报价人：                      （盖章）</w:t>
      </w:r>
    </w:p>
    <w:p>
      <w:pPr>
        <w:tabs>
          <w:tab w:val="left" w:pos="1635"/>
        </w:tabs>
        <w:spacing w:line="240" w:lineRule="atLeast"/>
        <w:rPr>
          <w:rFonts w:hint="eastAsia" w:ascii="楷体_GB2312" w:hAnsi="楷体" w:eastAsia="楷体_GB2312"/>
          <w:sz w:val="28"/>
          <w:szCs w:val="28"/>
        </w:rPr>
      </w:pPr>
      <w:r>
        <w:rPr>
          <w:rFonts w:hint="eastAsia" w:ascii="楷体_GB2312" w:hAnsi="楷体" w:eastAsia="楷体_GB2312"/>
          <w:sz w:val="28"/>
          <w:szCs w:val="28"/>
        </w:rPr>
        <w:t>法定代表人</w:t>
      </w:r>
    </w:p>
    <w:p>
      <w:pPr>
        <w:tabs>
          <w:tab w:val="left" w:pos="1635"/>
        </w:tabs>
        <w:spacing w:line="240" w:lineRule="atLeast"/>
        <w:rPr>
          <w:rFonts w:hint="eastAsia" w:ascii="楷体_GB2312" w:hAnsi="楷体" w:eastAsia="楷体_GB2312"/>
          <w:sz w:val="28"/>
          <w:szCs w:val="28"/>
        </w:rPr>
      </w:pPr>
      <w:r>
        <w:rPr>
          <w:rFonts w:hint="eastAsia" w:ascii="楷体_GB2312" w:hAnsi="楷体" w:eastAsia="楷体_GB2312"/>
          <w:sz w:val="28"/>
          <w:szCs w:val="28"/>
        </w:rPr>
        <w:t>或其委托代理人：                 (签字)</w:t>
      </w:r>
    </w:p>
    <w:p>
      <w:pPr>
        <w:tabs>
          <w:tab w:val="left" w:pos="1635"/>
        </w:tabs>
        <w:spacing w:line="240" w:lineRule="atLeast"/>
        <w:rPr>
          <w:rFonts w:ascii="楷体_GB2312" w:hAnsi="楷体" w:eastAsia="楷体_GB2312"/>
          <w:sz w:val="28"/>
          <w:szCs w:val="28"/>
        </w:rPr>
      </w:pPr>
    </w:p>
    <w:p>
      <w:pPr>
        <w:spacing w:line="640" w:lineRule="exact"/>
        <w:ind w:firstLine="0"/>
        <w:rPr>
          <w:rFonts w:ascii="Times New Roman" w:hAnsi="Times New Roman" w:eastAsia="仿宋_GB2312" w:cs="Times New Roman"/>
          <w:b/>
          <w:color w:val="auto"/>
          <w:sz w:val="36"/>
          <w:szCs w:val="32"/>
        </w:rPr>
      </w:pPr>
      <w:r>
        <w:rPr>
          <w:rFonts w:hint="eastAsia" w:ascii="楷体_GB2312" w:hAnsi="楷体" w:eastAsia="楷体_GB2312"/>
          <w:sz w:val="28"/>
          <w:szCs w:val="28"/>
        </w:rPr>
        <w:t>日    期：       年    月    日</w:t>
      </w:r>
      <w:r>
        <w:rPr>
          <w:rFonts w:hint="eastAsia" w:ascii="楷体_GB2312" w:hAnsi="楷体" w:eastAsia="楷体_GB2312"/>
          <w:sz w:val="28"/>
          <w:szCs w:val="28"/>
          <w:lang w:val="en-US" w:eastAsia="zh-CN"/>
        </w:rPr>
        <w:t xml:space="preserve">                     </w:t>
      </w:r>
    </w:p>
    <w:p>
      <w:pPr>
        <w:spacing w:afterLines="50" w:line="640" w:lineRule="exact"/>
        <w:ind w:firstLine="0"/>
        <w:jc w:val="center"/>
        <w:rPr>
          <w:rFonts w:ascii="Times New Roman" w:hAnsi="Times New Roman" w:eastAsia="仿宋_GB2312" w:cs="Times New Roman"/>
          <w:b/>
          <w:color w:val="auto"/>
          <w:sz w:val="36"/>
          <w:szCs w:val="32"/>
        </w:rPr>
      </w:pPr>
    </w:p>
    <w:p>
      <w:pPr>
        <w:spacing w:afterLines="50" w:line="640" w:lineRule="exact"/>
        <w:ind w:firstLine="0"/>
        <w:jc w:val="center"/>
        <w:rPr>
          <w:rFonts w:ascii="Times New Roman" w:hAnsi="Times New Roman" w:eastAsia="仿宋_GB2312" w:cs="Times New Roman"/>
          <w:b/>
          <w:color w:val="auto"/>
          <w:sz w:val="36"/>
          <w:szCs w:val="32"/>
        </w:rPr>
      </w:pPr>
    </w:p>
    <w:p>
      <w:pPr>
        <w:spacing w:afterLines="50" w:line="640" w:lineRule="exact"/>
        <w:ind w:firstLine="0"/>
        <w:jc w:val="both"/>
        <w:rPr>
          <w:rFonts w:hint="default" w:ascii="Times New Roman" w:hAnsi="Times New Roman" w:eastAsia="仿宋_GB2312" w:cs="Times New Roman"/>
          <w:b/>
          <w:color w:val="auto"/>
          <w:sz w:val="36"/>
          <w:szCs w:val="32"/>
          <w:lang w:val="en-US" w:eastAsia="zh-CN"/>
        </w:rPr>
      </w:pPr>
      <w:r>
        <w:rPr>
          <w:rFonts w:hint="eastAsia" w:ascii="Times New Roman" w:hAnsi="Times New Roman" w:eastAsia="仿宋_GB2312" w:cs="Times New Roman"/>
          <w:b/>
          <w:color w:val="auto"/>
          <w:sz w:val="36"/>
          <w:szCs w:val="32"/>
          <w:lang w:val="en-US" w:eastAsia="zh-CN"/>
        </w:rPr>
        <w:t>格式2</w:t>
      </w:r>
    </w:p>
    <w:p>
      <w:pPr>
        <w:spacing w:afterLines="50" w:line="640" w:lineRule="exact"/>
        <w:ind w:firstLine="0"/>
        <w:jc w:val="center"/>
        <w:rPr>
          <w:rFonts w:ascii="Times New Roman" w:hAnsi="Times New Roman" w:eastAsia="仿宋_GB2312" w:cs="Times New Roman"/>
          <w:b/>
          <w:color w:val="auto"/>
          <w:sz w:val="36"/>
          <w:szCs w:val="32"/>
        </w:rPr>
      </w:pPr>
      <w:r>
        <w:rPr>
          <w:rFonts w:ascii="Times New Roman" w:hAnsi="Times New Roman" w:eastAsia="仿宋_GB2312" w:cs="Times New Roman"/>
          <w:b/>
          <w:color w:val="auto"/>
          <w:sz w:val="36"/>
          <w:szCs w:val="32"/>
        </w:rPr>
        <w:t>资格性响应及采购承诺声明</w:t>
      </w:r>
    </w:p>
    <w:p>
      <w:pPr>
        <w:keepNext w:val="0"/>
        <w:keepLines w:val="0"/>
        <w:pageBreakBefore w:val="0"/>
        <w:widowControl w:val="0"/>
        <w:kinsoku/>
        <w:wordWrap/>
        <w:overflowPunct/>
        <w:topLinePunct w:val="0"/>
        <w:autoSpaceDE/>
        <w:autoSpaceDN/>
        <w:bidi w:val="0"/>
        <w:adjustRightInd/>
        <w:snapToGrid/>
        <w:spacing w:line="480" w:lineRule="exact"/>
        <w:ind w:firstLine="0"/>
        <w:jc w:val="lef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广元市利州区文旅投资集团有限公司</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640"/>
        <w:jc w:val="lef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我方全面研究了</w:t>
      </w:r>
      <w:r>
        <w:rPr>
          <w:rFonts w:hint="eastAsia" w:ascii="仿宋_GB2312" w:hAnsi="仿宋_GB2312" w:eastAsia="仿宋_GB2312" w:cs="仿宋_GB2312"/>
          <w:color w:val="auto"/>
          <w:sz w:val="28"/>
          <w:szCs w:val="28"/>
          <w:u w:val="single"/>
        </w:rPr>
        <w:t xml:space="preserve">             项目(文件编号：   )</w:t>
      </w:r>
      <w:r>
        <w:rPr>
          <w:rFonts w:hint="eastAsia" w:ascii="仿宋_GB2312" w:hAnsi="仿宋_GB2312" w:eastAsia="仿宋_GB2312" w:cs="仿宋_GB2312"/>
          <w:color w:val="auto"/>
          <w:sz w:val="28"/>
          <w:szCs w:val="28"/>
        </w:rPr>
        <w:t>，决定参加贵单位组织的本项目网络竞价采购。现承诺声明如下：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一、具备本项目规定的条件：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（一）具有独立承担民事责任的能力；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（六）法律、行政法规规定的其他条件；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（七）根据采购项目提出的特殊条件</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1.供应商须提供两个</w:t>
      </w:r>
      <w:r>
        <w:rPr>
          <w:rFonts w:hint="eastAsia" w:ascii="仿宋_GB2312" w:hAnsi="仿宋_GB2312" w:eastAsia="仿宋_GB2312" w:cs="仿宋_GB2312"/>
          <w:color w:val="auto"/>
          <w:sz w:val="28"/>
          <w:szCs w:val="28"/>
          <w:lang w:val="en-US" w:eastAsia="zh-CN"/>
        </w:rPr>
        <w:t>房建</w:t>
      </w:r>
      <w:r>
        <w:rPr>
          <w:rFonts w:hint="eastAsia" w:ascii="仿宋_GB2312" w:hAnsi="仿宋_GB2312" w:eastAsia="仿宋_GB2312" w:cs="仿宋_GB2312"/>
          <w:color w:val="auto"/>
          <w:sz w:val="28"/>
          <w:szCs w:val="28"/>
          <w:lang w:eastAsia="zh-CN"/>
        </w:rPr>
        <w:t>工程审计项目业绩，提供的工程审计项目业绩须是政府审计项目；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.本项目不接受联合体报名参与。</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完全接受和满足本项目采购文件中规定的实质性要求，如对采购文件有异议，已经在递交响应文件截止时间届满前依法进行维权救济，不存在对采购文件有异议的同时又参加网络竞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三、在参加本次采购活动中，不存在与单位负责人为同一人或者存在直接控股、管理关系的其他供应商参与同一合同项下的采购活动的行为。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四、在参加本次采购活动中，不存在和其他供应商在同一合同项下的采购项目中，同时委托同一个自然人、同一家庭的人员、同一单位的人员作为代理人的行为。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五、响应文件中提供的任何资料和技术、服务、商务等响应承诺情况都是真实的、有效的、合法的。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本公司对上述承诺的内容事项真实性负责。如经查实上述承诺的内容事项存在虚假，我公司愿意接受以提供虚假材料谋取成交的法律责任。</w:t>
      </w:r>
    </w:p>
    <w:p>
      <w:pPr>
        <w:spacing w:line="400" w:lineRule="exact"/>
        <w:ind w:firstLine="0"/>
        <w:jc w:val="left"/>
        <w:rPr>
          <w:rFonts w:ascii="仿宋_GB2312" w:hAnsi="仿宋_GB2312" w:eastAsia="仿宋_GB2312" w:cs="仿宋_GB2312"/>
          <w:color w:val="auto"/>
          <w:sz w:val="28"/>
          <w:szCs w:val="28"/>
        </w:rPr>
      </w:pPr>
    </w:p>
    <w:p>
      <w:pPr>
        <w:spacing w:line="400" w:lineRule="exact"/>
        <w:ind w:firstLine="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意向供应商名称（盖章）：</w:t>
      </w:r>
    </w:p>
    <w:p>
      <w:pPr>
        <w:spacing w:line="400" w:lineRule="exact"/>
        <w:ind w:firstLine="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法定代表人或授权代表（签字或盖章）：</w:t>
      </w:r>
    </w:p>
    <w:p>
      <w:pPr>
        <w:spacing w:line="400" w:lineRule="exact"/>
        <w:ind w:firstLine="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    期：</w:t>
      </w:r>
    </w:p>
    <w:p>
      <w:r>
        <w:rPr>
          <w:rFonts w:hint="eastAsia" w:ascii="仿宋_GB2312" w:hAnsi="仿宋_GB2312" w:eastAsia="仿宋_GB2312" w:cs="仿宋_GB2312"/>
          <w:color w:val="auto"/>
          <w:sz w:val="28"/>
          <w:szCs w:val="28"/>
        </w:rPr>
        <w:br w:type="page"/>
      </w:r>
    </w:p>
    <w:p>
      <w:pPr>
        <w:spacing w:line="640" w:lineRule="exact"/>
        <w:ind w:firstLine="0"/>
        <w:rPr>
          <w:rFonts w:hint="default" w:ascii="Times New Roman" w:hAnsi="Times New Roman" w:eastAsia="仿宋_GB2312" w:cs="Times New Roman"/>
          <w:b/>
          <w:color w:val="auto"/>
          <w:sz w:val="36"/>
          <w:szCs w:val="32"/>
          <w:lang w:val="en-US"/>
        </w:rPr>
      </w:pPr>
      <w:r>
        <w:rPr>
          <w:rFonts w:hint="eastAsia" w:ascii="Times New Roman" w:hAnsi="Times New Roman" w:eastAsia="仿宋_GB2312" w:cs="Times New Roman"/>
          <w:b/>
          <w:color w:val="auto"/>
          <w:sz w:val="36"/>
          <w:szCs w:val="32"/>
          <w:lang w:eastAsia="zh-CN"/>
        </w:rPr>
        <w:t>格式</w:t>
      </w:r>
      <w:r>
        <w:rPr>
          <w:rFonts w:hint="eastAsia" w:ascii="Times New Roman" w:hAnsi="Times New Roman" w:eastAsia="仿宋_GB2312" w:cs="Times New Roman"/>
          <w:b/>
          <w:color w:val="auto"/>
          <w:sz w:val="36"/>
          <w:szCs w:val="32"/>
          <w:lang w:val="en-US" w:eastAsia="zh-CN"/>
        </w:rPr>
        <w:t>3</w:t>
      </w:r>
    </w:p>
    <w:p>
      <w:pPr>
        <w:spacing w:line="460" w:lineRule="exact"/>
        <w:ind w:firstLine="0"/>
        <w:jc w:val="center"/>
        <w:rPr>
          <w:rFonts w:ascii="Times New Roman" w:hAnsi="Times New Roman" w:eastAsia="仿宋_GB2312" w:cs="Times New Roman"/>
          <w:b/>
          <w:color w:val="auto"/>
          <w:sz w:val="36"/>
          <w:szCs w:val="32"/>
        </w:rPr>
      </w:pPr>
      <w:r>
        <w:rPr>
          <w:rFonts w:ascii="Times New Roman" w:hAnsi="Times New Roman" w:eastAsia="仿宋_GB2312" w:cs="Times New Roman"/>
          <w:b/>
          <w:color w:val="auto"/>
          <w:sz w:val="36"/>
          <w:szCs w:val="32"/>
        </w:rPr>
        <w:t>企业基本情况表</w:t>
      </w:r>
    </w:p>
    <w:p>
      <w:pPr>
        <w:spacing w:line="400" w:lineRule="exact"/>
        <w:ind w:firstLine="0"/>
        <w:jc w:val="center"/>
        <w:rPr>
          <w:rFonts w:ascii="仿宋" w:hAnsi="仿宋" w:cs="仿宋"/>
          <w:color w:val="auto"/>
          <w:sz w:val="28"/>
          <w:szCs w:val="28"/>
        </w:rPr>
      </w:pPr>
      <w:r>
        <w:rPr>
          <w:rFonts w:hint="eastAsia" w:ascii="仿宋" w:hAnsi="仿宋" w:cs="仿宋"/>
          <w:color w:val="auto"/>
          <w:sz w:val="28"/>
          <w:szCs w:val="28"/>
        </w:rPr>
        <w:t>（后附营业执照）</w:t>
      </w:r>
    </w:p>
    <w:tbl>
      <w:tblPr>
        <w:tblStyle w:val="2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5"/>
        <w:gridCol w:w="950"/>
        <w:gridCol w:w="1000"/>
        <w:gridCol w:w="1187"/>
        <w:gridCol w:w="1488"/>
        <w:gridCol w:w="774"/>
        <w:gridCol w:w="12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5" w:type="dxa"/>
          </w:tcPr>
          <w:p>
            <w:pPr>
              <w:spacing w:line="460" w:lineRule="exact"/>
              <w:ind w:firstLine="0"/>
              <w:jc w:val="center"/>
              <w:rPr>
                <w:rFonts w:ascii="仿宋" w:hAnsi="仿宋" w:cs="仿宋"/>
                <w:b/>
                <w:color w:val="auto"/>
                <w:kern w:val="0"/>
                <w:szCs w:val="24"/>
              </w:rPr>
            </w:pPr>
            <w:r>
              <w:rPr>
                <w:rFonts w:hint="eastAsia" w:ascii="仿宋" w:hAnsi="仿宋" w:cs="仿宋"/>
                <w:color w:val="auto"/>
                <w:kern w:val="0"/>
                <w:szCs w:val="24"/>
              </w:rPr>
              <w:t>意向供应商名称</w:t>
            </w:r>
          </w:p>
        </w:tc>
        <w:tc>
          <w:tcPr>
            <w:tcW w:w="6617" w:type="dxa"/>
            <w:gridSpan w:val="6"/>
          </w:tcPr>
          <w:p>
            <w:pPr>
              <w:spacing w:line="460" w:lineRule="exact"/>
              <w:ind w:firstLine="0"/>
              <w:jc w:val="center"/>
              <w:rPr>
                <w:rFonts w:ascii="仿宋" w:hAnsi="仿宋" w:cs="仿宋"/>
                <w:b/>
                <w:color w:val="auto"/>
                <w:kern w:val="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5" w:type="dxa"/>
          </w:tcPr>
          <w:p>
            <w:pPr>
              <w:spacing w:line="460" w:lineRule="exact"/>
              <w:ind w:firstLine="0"/>
              <w:jc w:val="center"/>
              <w:rPr>
                <w:rFonts w:ascii="仿宋" w:hAnsi="仿宋" w:cs="仿宋"/>
                <w:b/>
                <w:color w:val="auto"/>
                <w:kern w:val="0"/>
                <w:szCs w:val="24"/>
              </w:rPr>
            </w:pPr>
            <w:r>
              <w:rPr>
                <w:rFonts w:hint="eastAsia" w:ascii="仿宋" w:hAnsi="仿宋" w:cs="仿宋"/>
                <w:color w:val="auto"/>
                <w:kern w:val="0"/>
                <w:szCs w:val="24"/>
              </w:rPr>
              <w:t>注册地址</w:t>
            </w:r>
          </w:p>
        </w:tc>
        <w:tc>
          <w:tcPr>
            <w:tcW w:w="3137" w:type="dxa"/>
            <w:gridSpan w:val="3"/>
          </w:tcPr>
          <w:p>
            <w:pPr>
              <w:spacing w:line="460" w:lineRule="exact"/>
              <w:ind w:firstLine="0"/>
              <w:jc w:val="center"/>
              <w:rPr>
                <w:rFonts w:ascii="仿宋" w:hAnsi="仿宋" w:cs="仿宋"/>
                <w:b/>
                <w:color w:val="auto"/>
                <w:kern w:val="0"/>
                <w:szCs w:val="24"/>
              </w:rPr>
            </w:pPr>
          </w:p>
        </w:tc>
        <w:tc>
          <w:tcPr>
            <w:tcW w:w="1488" w:type="dxa"/>
          </w:tcPr>
          <w:p>
            <w:pPr>
              <w:spacing w:line="460" w:lineRule="exact"/>
              <w:ind w:firstLine="0"/>
              <w:jc w:val="center"/>
              <w:rPr>
                <w:rFonts w:ascii="仿宋" w:hAnsi="仿宋" w:cs="仿宋"/>
                <w:b/>
                <w:color w:val="auto"/>
                <w:kern w:val="0"/>
                <w:szCs w:val="24"/>
              </w:rPr>
            </w:pPr>
            <w:r>
              <w:rPr>
                <w:rFonts w:hint="eastAsia" w:ascii="仿宋" w:hAnsi="仿宋" w:cs="仿宋"/>
                <w:color w:val="auto"/>
                <w:kern w:val="0"/>
                <w:szCs w:val="24"/>
              </w:rPr>
              <w:t>邮政编码</w:t>
            </w:r>
          </w:p>
        </w:tc>
        <w:tc>
          <w:tcPr>
            <w:tcW w:w="1992" w:type="dxa"/>
            <w:gridSpan w:val="2"/>
          </w:tcPr>
          <w:p>
            <w:pPr>
              <w:spacing w:line="460" w:lineRule="exact"/>
              <w:ind w:firstLine="0"/>
              <w:jc w:val="center"/>
              <w:rPr>
                <w:rFonts w:ascii="仿宋" w:hAnsi="仿宋" w:cs="仿宋"/>
                <w:b/>
                <w:color w:val="auto"/>
                <w:kern w:val="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5" w:type="dxa"/>
            <w:vMerge w:val="restart"/>
            <w:vAlign w:val="center"/>
          </w:tcPr>
          <w:p>
            <w:pPr>
              <w:spacing w:line="460" w:lineRule="exact"/>
              <w:ind w:firstLine="0"/>
              <w:jc w:val="center"/>
              <w:rPr>
                <w:rFonts w:ascii="仿宋" w:hAnsi="仿宋" w:cs="仿宋"/>
                <w:b/>
                <w:color w:val="auto"/>
                <w:kern w:val="0"/>
                <w:szCs w:val="24"/>
              </w:rPr>
            </w:pPr>
            <w:r>
              <w:rPr>
                <w:rFonts w:hint="eastAsia" w:ascii="仿宋" w:hAnsi="仿宋" w:cs="仿宋"/>
                <w:color w:val="auto"/>
                <w:kern w:val="0"/>
                <w:szCs w:val="24"/>
              </w:rPr>
              <w:t>联系方式</w:t>
            </w:r>
          </w:p>
        </w:tc>
        <w:tc>
          <w:tcPr>
            <w:tcW w:w="950" w:type="dxa"/>
          </w:tcPr>
          <w:p>
            <w:pPr>
              <w:spacing w:line="460" w:lineRule="exact"/>
              <w:ind w:firstLine="0"/>
              <w:jc w:val="center"/>
              <w:rPr>
                <w:rFonts w:ascii="仿宋" w:hAnsi="仿宋" w:cs="仿宋"/>
                <w:b/>
                <w:color w:val="auto"/>
                <w:kern w:val="0"/>
                <w:szCs w:val="24"/>
              </w:rPr>
            </w:pPr>
            <w:r>
              <w:rPr>
                <w:rFonts w:hint="eastAsia" w:ascii="仿宋" w:hAnsi="仿宋" w:cs="仿宋"/>
                <w:color w:val="auto"/>
                <w:kern w:val="0"/>
                <w:szCs w:val="24"/>
              </w:rPr>
              <w:t>联系人</w:t>
            </w:r>
          </w:p>
        </w:tc>
        <w:tc>
          <w:tcPr>
            <w:tcW w:w="2187" w:type="dxa"/>
            <w:gridSpan w:val="2"/>
          </w:tcPr>
          <w:p>
            <w:pPr>
              <w:spacing w:line="460" w:lineRule="exact"/>
              <w:ind w:firstLine="0"/>
              <w:jc w:val="center"/>
              <w:rPr>
                <w:rFonts w:ascii="仿宋" w:hAnsi="仿宋" w:cs="仿宋"/>
                <w:b/>
                <w:color w:val="auto"/>
                <w:kern w:val="0"/>
                <w:szCs w:val="24"/>
              </w:rPr>
            </w:pPr>
          </w:p>
        </w:tc>
        <w:tc>
          <w:tcPr>
            <w:tcW w:w="1488" w:type="dxa"/>
          </w:tcPr>
          <w:p>
            <w:pPr>
              <w:spacing w:line="460" w:lineRule="exact"/>
              <w:ind w:firstLine="0"/>
              <w:jc w:val="center"/>
              <w:rPr>
                <w:rFonts w:ascii="仿宋" w:hAnsi="仿宋" w:cs="仿宋"/>
                <w:b/>
                <w:color w:val="auto"/>
                <w:kern w:val="0"/>
                <w:szCs w:val="24"/>
              </w:rPr>
            </w:pPr>
            <w:r>
              <w:rPr>
                <w:rFonts w:hint="eastAsia" w:ascii="仿宋" w:hAnsi="仿宋" w:cs="仿宋"/>
                <w:color w:val="auto"/>
                <w:kern w:val="0"/>
                <w:szCs w:val="24"/>
              </w:rPr>
              <w:t>电话</w:t>
            </w:r>
          </w:p>
        </w:tc>
        <w:tc>
          <w:tcPr>
            <w:tcW w:w="1992" w:type="dxa"/>
            <w:gridSpan w:val="2"/>
          </w:tcPr>
          <w:p>
            <w:pPr>
              <w:spacing w:line="460" w:lineRule="exact"/>
              <w:ind w:firstLine="0"/>
              <w:jc w:val="center"/>
              <w:rPr>
                <w:rFonts w:ascii="仿宋" w:hAnsi="仿宋" w:cs="仿宋"/>
                <w:b/>
                <w:color w:val="auto"/>
                <w:kern w:val="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5" w:type="dxa"/>
            <w:vMerge w:val="continue"/>
          </w:tcPr>
          <w:p>
            <w:pPr>
              <w:spacing w:line="460" w:lineRule="exact"/>
              <w:ind w:firstLine="0"/>
              <w:jc w:val="center"/>
              <w:rPr>
                <w:rFonts w:ascii="仿宋" w:hAnsi="仿宋" w:cs="仿宋"/>
                <w:b/>
                <w:color w:val="auto"/>
                <w:kern w:val="0"/>
                <w:szCs w:val="24"/>
              </w:rPr>
            </w:pPr>
          </w:p>
        </w:tc>
        <w:tc>
          <w:tcPr>
            <w:tcW w:w="950" w:type="dxa"/>
          </w:tcPr>
          <w:p>
            <w:pPr>
              <w:spacing w:line="460" w:lineRule="exact"/>
              <w:ind w:firstLine="0"/>
              <w:jc w:val="center"/>
              <w:rPr>
                <w:rFonts w:ascii="仿宋" w:hAnsi="仿宋" w:cs="仿宋"/>
                <w:b/>
                <w:color w:val="auto"/>
                <w:kern w:val="0"/>
                <w:szCs w:val="24"/>
              </w:rPr>
            </w:pPr>
            <w:r>
              <w:rPr>
                <w:rFonts w:hint="eastAsia" w:ascii="仿宋" w:hAnsi="仿宋" w:cs="仿宋"/>
                <w:color w:val="auto"/>
                <w:kern w:val="0"/>
                <w:szCs w:val="24"/>
              </w:rPr>
              <w:t>传真</w:t>
            </w:r>
          </w:p>
        </w:tc>
        <w:tc>
          <w:tcPr>
            <w:tcW w:w="2187" w:type="dxa"/>
            <w:gridSpan w:val="2"/>
          </w:tcPr>
          <w:p>
            <w:pPr>
              <w:spacing w:line="460" w:lineRule="exact"/>
              <w:ind w:firstLine="0"/>
              <w:jc w:val="center"/>
              <w:rPr>
                <w:rFonts w:ascii="仿宋" w:hAnsi="仿宋" w:cs="仿宋"/>
                <w:b/>
                <w:color w:val="auto"/>
                <w:kern w:val="0"/>
                <w:szCs w:val="24"/>
              </w:rPr>
            </w:pPr>
          </w:p>
        </w:tc>
        <w:tc>
          <w:tcPr>
            <w:tcW w:w="1488" w:type="dxa"/>
          </w:tcPr>
          <w:p>
            <w:pPr>
              <w:spacing w:line="460" w:lineRule="exact"/>
              <w:ind w:firstLine="0"/>
              <w:jc w:val="center"/>
              <w:rPr>
                <w:rFonts w:ascii="仿宋" w:hAnsi="仿宋" w:cs="仿宋"/>
                <w:b/>
                <w:color w:val="auto"/>
                <w:kern w:val="0"/>
                <w:szCs w:val="24"/>
              </w:rPr>
            </w:pPr>
            <w:r>
              <w:rPr>
                <w:rFonts w:hint="eastAsia" w:ascii="仿宋" w:hAnsi="仿宋" w:cs="仿宋"/>
                <w:color w:val="auto"/>
                <w:kern w:val="0"/>
                <w:szCs w:val="24"/>
              </w:rPr>
              <w:t>网址</w:t>
            </w:r>
          </w:p>
        </w:tc>
        <w:tc>
          <w:tcPr>
            <w:tcW w:w="1992" w:type="dxa"/>
            <w:gridSpan w:val="2"/>
          </w:tcPr>
          <w:p>
            <w:pPr>
              <w:spacing w:line="460" w:lineRule="exact"/>
              <w:ind w:firstLine="0"/>
              <w:jc w:val="center"/>
              <w:rPr>
                <w:rFonts w:ascii="仿宋" w:hAnsi="仿宋" w:cs="仿宋"/>
                <w:b/>
                <w:color w:val="auto"/>
                <w:kern w:val="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5" w:type="dxa"/>
          </w:tcPr>
          <w:p>
            <w:pPr>
              <w:spacing w:line="460" w:lineRule="exact"/>
              <w:ind w:firstLine="0"/>
              <w:jc w:val="center"/>
              <w:rPr>
                <w:rFonts w:ascii="仿宋" w:hAnsi="仿宋" w:cs="仿宋"/>
                <w:b/>
                <w:color w:val="auto"/>
                <w:kern w:val="0"/>
                <w:szCs w:val="24"/>
              </w:rPr>
            </w:pPr>
            <w:r>
              <w:rPr>
                <w:rFonts w:hint="eastAsia" w:ascii="仿宋" w:hAnsi="仿宋" w:cs="仿宋"/>
                <w:color w:val="auto"/>
                <w:kern w:val="0"/>
                <w:szCs w:val="24"/>
              </w:rPr>
              <w:t>组织结构</w:t>
            </w:r>
          </w:p>
        </w:tc>
        <w:tc>
          <w:tcPr>
            <w:tcW w:w="6617" w:type="dxa"/>
            <w:gridSpan w:val="6"/>
          </w:tcPr>
          <w:p>
            <w:pPr>
              <w:spacing w:line="460" w:lineRule="exact"/>
              <w:ind w:firstLine="0"/>
              <w:jc w:val="center"/>
              <w:rPr>
                <w:rFonts w:ascii="仿宋" w:hAnsi="仿宋" w:cs="仿宋"/>
                <w:b/>
                <w:color w:val="auto"/>
                <w:kern w:val="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5" w:type="dxa"/>
            <w:vAlign w:val="center"/>
          </w:tcPr>
          <w:p>
            <w:pPr>
              <w:spacing w:line="460" w:lineRule="exact"/>
              <w:ind w:firstLine="0"/>
              <w:jc w:val="center"/>
              <w:rPr>
                <w:rFonts w:ascii="仿宋" w:hAnsi="仿宋" w:cs="仿宋"/>
                <w:color w:val="auto"/>
                <w:kern w:val="0"/>
                <w:szCs w:val="24"/>
              </w:rPr>
            </w:pPr>
            <w:r>
              <w:rPr>
                <w:rFonts w:hint="eastAsia" w:ascii="仿宋" w:hAnsi="仿宋" w:cs="仿宋"/>
                <w:color w:val="auto"/>
                <w:kern w:val="0"/>
                <w:szCs w:val="24"/>
              </w:rPr>
              <w:t>法定代表人/</w:t>
            </w:r>
          </w:p>
          <w:p>
            <w:pPr>
              <w:spacing w:line="460" w:lineRule="exact"/>
              <w:ind w:firstLine="0"/>
              <w:jc w:val="center"/>
              <w:rPr>
                <w:rFonts w:ascii="仿宋" w:hAnsi="仿宋" w:cs="仿宋"/>
                <w:color w:val="auto"/>
                <w:kern w:val="0"/>
                <w:szCs w:val="24"/>
              </w:rPr>
            </w:pPr>
            <w:r>
              <w:rPr>
                <w:rFonts w:hint="eastAsia" w:ascii="仿宋" w:hAnsi="仿宋" w:cs="仿宋"/>
                <w:color w:val="auto"/>
                <w:kern w:val="0"/>
                <w:szCs w:val="24"/>
              </w:rPr>
              <w:t>负责人</w:t>
            </w:r>
          </w:p>
        </w:tc>
        <w:tc>
          <w:tcPr>
            <w:tcW w:w="950" w:type="dxa"/>
            <w:vAlign w:val="center"/>
          </w:tcPr>
          <w:p>
            <w:pPr>
              <w:spacing w:line="460" w:lineRule="exact"/>
              <w:ind w:firstLine="0"/>
              <w:jc w:val="center"/>
              <w:rPr>
                <w:rFonts w:ascii="仿宋" w:hAnsi="仿宋" w:cs="仿宋"/>
                <w:b/>
                <w:color w:val="auto"/>
                <w:kern w:val="0"/>
                <w:szCs w:val="24"/>
              </w:rPr>
            </w:pPr>
            <w:r>
              <w:rPr>
                <w:rFonts w:hint="eastAsia" w:ascii="仿宋" w:hAnsi="仿宋" w:cs="仿宋"/>
                <w:color w:val="auto"/>
                <w:kern w:val="0"/>
                <w:szCs w:val="24"/>
              </w:rPr>
              <w:t>姓名</w:t>
            </w:r>
          </w:p>
        </w:tc>
        <w:tc>
          <w:tcPr>
            <w:tcW w:w="1000" w:type="dxa"/>
            <w:vAlign w:val="center"/>
          </w:tcPr>
          <w:p>
            <w:pPr>
              <w:spacing w:line="460" w:lineRule="exact"/>
              <w:ind w:firstLine="0"/>
              <w:jc w:val="center"/>
              <w:rPr>
                <w:rFonts w:ascii="仿宋" w:hAnsi="仿宋" w:cs="仿宋"/>
                <w:b/>
                <w:color w:val="auto"/>
                <w:kern w:val="0"/>
                <w:szCs w:val="24"/>
              </w:rPr>
            </w:pPr>
          </w:p>
        </w:tc>
        <w:tc>
          <w:tcPr>
            <w:tcW w:w="1187" w:type="dxa"/>
            <w:vAlign w:val="center"/>
          </w:tcPr>
          <w:p>
            <w:pPr>
              <w:spacing w:line="460" w:lineRule="exact"/>
              <w:ind w:firstLine="0"/>
              <w:jc w:val="center"/>
              <w:rPr>
                <w:rFonts w:ascii="仿宋" w:hAnsi="仿宋" w:cs="仿宋"/>
                <w:b/>
                <w:color w:val="auto"/>
                <w:kern w:val="0"/>
                <w:szCs w:val="24"/>
              </w:rPr>
            </w:pPr>
            <w:r>
              <w:rPr>
                <w:rFonts w:hint="eastAsia" w:ascii="仿宋" w:hAnsi="仿宋" w:cs="仿宋"/>
                <w:color w:val="auto"/>
                <w:kern w:val="0"/>
                <w:szCs w:val="24"/>
              </w:rPr>
              <w:t>技术职称</w:t>
            </w:r>
          </w:p>
        </w:tc>
        <w:tc>
          <w:tcPr>
            <w:tcW w:w="1488" w:type="dxa"/>
            <w:vAlign w:val="center"/>
          </w:tcPr>
          <w:p>
            <w:pPr>
              <w:spacing w:line="460" w:lineRule="exact"/>
              <w:ind w:firstLine="0"/>
              <w:jc w:val="center"/>
              <w:rPr>
                <w:rFonts w:ascii="仿宋" w:hAnsi="仿宋" w:cs="仿宋"/>
                <w:b/>
                <w:color w:val="auto"/>
                <w:kern w:val="0"/>
                <w:szCs w:val="24"/>
              </w:rPr>
            </w:pPr>
          </w:p>
        </w:tc>
        <w:tc>
          <w:tcPr>
            <w:tcW w:w="774" w:type="dxa"/>
            <w:vAlign w:val="center"/>
          </w:tcPr>
          <w:p>
            <w:pPr>
              <w:spacing w:line="460" w:lineRule="exact"/>
              <w:ind w:firstLine="0"/>
              <w:jc w:val="center"/>
              <w:rPr>
                <w:rFonts w:ascii="仿宋" w:hAnsi="仿宋" w:cs="仿宋"/>
                <w:b/>
                <w:color w:val="auto"/>
                <w:kern w:val="0"/>
                <w:szCs w:val="24"/>
              </w:rPr>
            </w:pPr>
            <w:r>
              <w:rPr>
                <w:rFonts w:hint="eastAsia" w:ascii="仿宋" w:hAnsi="仿宋" w:cs="仿宋"/>
                <w:color w:val="auto"/>
                <w:kern w:val="0"/>
                <w:szCs w:val="24"/>
              </w:rPr>
              <w:t>电话</w:t>
            </w:r>
          </w:p>
        </w:tc>
        <w:tc>
          <w:tcPr>
            <w:tcW w:w="1218" w:type="dxa"/>
            <w:vAlign w:val="center"/>
          </w:tcPr>
          <w:p>
            <w:pPr>
              <w:spacing w:line="460" w:lineRule="exact"/>
              <w:ind w:firstLine="0"/>
              <w:jc w:val="center"/>
              <w:rPr>
                <w:rFonts w:ascii="仿宋" w:hAnsi="仿宋" w:cs="仿宋"/>
                <w:b/>
                <w:color w:val="auto"/>
                <w:kern w:val="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5" w:type="dxa"/>
          </w:tcPr>
          <w:p>
            <w:pPr>
              <w:spacing w:line="460" w:lineRule="exact"/>
              <w:ind w:firstLine="0"/>
              <w:jc w:val="center"/>
              <w:rPr>
                <w:rFonts w:ascii="仿宋" w:hAnsi="仿宋" w:cs="仿宋"/>
                <w:color w:val="auto"/>
                <w:kern w:val="0"/>
                <w:szCs w:val="24"/>
              </w:rPr>
            </w:pPr>
            <w:r>
              <w:rPr>
                <w:rFonts w:hint="eastAsia" w:ascii="仿宋" w:hAnsi="仿宋" w:cs="仿宋"/>
                <w:color w:val="auto"/>
                <w:kern w:val="0"/>
                <w:szCs w:val="24"/>
              </w:rPr>
              <w:t>技术负责人</w:t>
            </w:r>
          </w:p>
        </w:tc>
        <w:tc>
          <w:tcPr>
            <w:tcW w:w="950" w:type="dxa"/>
          </w:tcPr>
          <w:p>
            <w:pPr>
              <w:spacing w:line="460" w:lineRule="exact"/>
              <w:ind w:firstLine="0"/>
              <w:jc w:val="center"/>
              <w:rPr>
                <w:rFonts w:ascii="仿宋" w:hAnsi="仿宋" w:cs="仿宋"/>
                <w:b/>
                <w:color w:val="auto"/>
                <w:kern w:val="0"/>
                <w:szCs w:val="24"/>
              </w:rPr>
            </w:pPr>
            <w:r>
              <w:rPr>
                <w:rFonts w:hint="eastAsia" w:ascii="仿宋" w:hAnsi="仿宋" w:cs="仿宋"/>
                <w:color w:val="auto"/>
                <w:kern w:val="0"/>
                <w:szCs w:val="24"/>
              </w:rPr>
              <w:t>姓名</w:t>
            </w:r>
          </w:p>
        </w:tc>
        <w:tc>
          <w:tcPr>
            <w:tcW w:w="1000" w:type="dxa"/>
          </w:tcPr>
          <w:p>
            <w:pPr>
              <w:spacing w:line="460" w:lineRule="exact"/>
              <w:ind w:firstLine="0"/>
              <w:jc w:val="center"/>
              <w:rPr>
                <w:rFonts w:ascii="仿宋" w:hAnsi="仿宋" w:cs="仿宋"/>
                <w:b/>
                <w:color w:val="auto"/>
                <w:kern w:val="0"/>
                <w:szCs w:val="24"/>
              </w:rPr>
            </w:pPr>
          </w:p>
        </w:tc>
        <w:tc>
          <w:tcPr>
            <w:tcW w:w="1187" w:type="dxa"/>
          </w:tcPr>
          <w:p>
            <w:pPr>
              <w:spacing w:line="460" w:lineRule="exact"/>
              <w:ind w:firstLine="0"/>
              <w:jc w:val="center"/>
              <w:rPr>
                <w:rFonts w:ascii="仿宋" w:hAnsi="仿宋" w:cs="仿宋"/>
                <w:b/>
                <w:color w:val="auto"/>
                <w:kern w:val="0"/>
                <w:szCs w:val="24"/>
              </w:rPr>
            </w:pPr>
            <w:r>
              <w:rPr>
                <w:rFonts w:hint="eastAsia" w:ascii="仿宋" w:hAnsi="仿宋" w:cs="仿宋"/>
                <w:color w:val="auto"/>
                <w:kern w:val="0"/>
                <w:szCs w:val="24"/>
              </w:rPr>
              <w:t>技术职称</w:t>
            </w:r>
          </w:p>
        </w:tc>
        <w:tc>
          <w:tcPr>
            <w:tcW w:w="1488" w:type="dxa"/>
          </w:tcPr>
          <w:p>
            <w:pPr>
              <w:spacing w:line="460" w:lineRule="exact"/>
              <w:ind w:firstLine="0"/>
              <w:jc w:val="center"/>
              <w:rPr>
                <w:rFonts w:ascii="仿宋" w:hAnsi="仿宋" w:cs="仿宋"/>
                <w:b/>
                <w:color w:val="auto"/>
                <w:kern w:val="0"/>
                <w:szCs w:val="24"/>
              </w:rPr>
            </w:pPr>
          </w:p>
        </w:tc>
        <w:tc>
          <w:tcPr>
            <w:tcW w:w="774" w:type="dxa"/>
          </w:tcPr>
          <w:p>
            <w:pPr>
              <w:spacing w:line="460" w:lineRule="exact"/>
              <w:ind w:firstLine="0"/>
              <w:jc w:val="center"/>
              <w:rPr>
                <w:rFonts w:ascii="仿宋" w:hAnsi="仿宋" w:cs="仿宋"/>
                <w:b/>
                <w:color w:val="auto"/>
                <w:kern w:val="0"/>
                <w:szCs w:val="24"/>
              </w:rPr>
            </w:pPr>
            <w:r>
              <w:rPr>
                <w:rFonts w:hint="eastAsia" w:ascii="仿宋" w:hAnsi="仿宋" w:cs="仿宋"/>
                <w:color w:val="auto"/>
                <w:kern w:val="0"/>
                <w:szCs w:val="24"/>
              </w:rPr>
              <w:t>电话</w:t>
            </w:r>
          </w:p>
        </w:tc>
        <w:tc>
          <w:tcPr>
            <w:tcW w:w="1218" w:type="dxa"/>
          </w:tcPr>
          <w:p>
            <w:pPr>
              <w:spacing w:line="460" w:lineRule="exact"/>
              <w:ind w:firstLine="0"/>
              <w:jc w:val="center"/>
              <w:rPr>
                <w:rFonts w:ascii="仿宋" w:hAnsi="仿宋" w:cs="仿宋"/>
                <w:b/>
                <w:color w:val="auto"/>
                <w:kern w:val="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5" w:type="dxa"/>
          </w:tcPr>
          <w:p>
            <w:pPr>
              <w:spacing w:line="460" w:lineRule="exact"/>
              <w:ind w:firstLine="0"/>
              <w:jc w:val="center"/>
              <w:rPr>
                <w:rFonts w:ascii="仿宋" w:hAnsi="仿宋" w:cs="仿宋"/>
                <w:color w:val="auto"/>
                <w:kern w:val="0"/>
                <w:szCs w:val="24"/>
              </w:rPr>
            </w:pPr>
            <w:r>
              <w:rPr>
                <w:rFonts w:hint="eastAsia" w:ascii="仿宋" w:hAnsi="仿宋" w:cs="仿宋"/>
                <w:color w:val="auto"/>
                <w:kern w:val="0"/>
                <w:szCs w:val="24"/>
              </w:rPr>
              <w:t>成立时间</w:t>
            </w:r>
          </w:p>
        </w:tc>
        <w:tc>
          <w:tcPr>
            <w:tcW w:w="3137" w:type="dxa"/>
            <w:gridSpan w:val="3"/>
          </w:tcPr>
          <w:p>
            <w:pPr>
              <w:spacing w:line="460" w:lineRule="exact"/>
              <w:ind w:firstLine="0"/>
              <w:jc w:val="center"/>
              <w:rPr>
                <w:rFonts w:ascii="仿宋" w:hAnsi="仿宋" w:cs="仿宋"/>
                <w:b/>
                <w:color w:val="auto"/>
                <w:kern w:val="0"/>
                <w:szCs w:val="24"/>
              </w:rPr>
            </w:pPr>
          </w:p>
        </w:tc>
        <w:tc>
          <w:tcPr>
            <w:tcW w:w="3480" w:type="dxa"/>
            <w:gridSpan w:val="3"/>
          </w:tcPr>
          <w:p>
            <w:pPr>
              <w:spacing w:line="460" w:lineRule="exact"/>
              <w:ind w:firstLine="0"/>
              <w:jc w:val="left"/>
              <w:rPr>
                <w:rFonts w:ascii="仿宋" w:hAnsi="仿宋" w:cs="仿宋"/>
                <w:b/>
                <w:color w:val="auto"/>
                <w:kern w:val="0"/>
                <w:szCs w:val="24"/>
              </w:rPr>
            </w:pPr>
            <w:r>
              <w:rPr>
                <w:rFonts w:hint="eastAsia" w:ascii="仿宋" w:hAnsi="仿宋" w:cs="仿宋"/>
                <w:color w:val="auto"/>
                <w:kern w:val="0"/>
                <w:szCs w:val="24"/>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5" w:type="dxa"/>
          </w:tcPr>
          <w:p>
            <w:pPr>
              <w:spacing w:line="460" w:lineRule="exact"/>
              <w:ind w:firstLine="0"/>
              <w:jc w:val="center"/>
              <w:rPr>
                <w:rFonts w:ascii="仿宋" w:hAnsi="仿宋" w:cs="仿宋"/>
                <w:color w:val="auto"/>
                <w:kern w:val="0"/>
                <w:szCs w:val="24"/>
              </w:rPr>
            </w:pPr>
            <w:r>
              <w:rPr>
                <w:rFonts w:hint="eastAsia" w:ascii="仿宋" w:hAnsi="仿宋" w:cs="仿宋"/>
                <w:color w:val="auto"/>
                <w:kern w:val="0"/>
                <w:szCs w:val="24"/>
              </w:rPr>
              <w:t>企业资质等级</w:t>
            </w:r>
          </w:p>
        </w:tc>
        <w:tc>
          <w:tcPr>
            <w:tcW w:w="1950" w:type="dxa"/>
            <w:gridSpan w:val="2"/>
          </w:tcPr>
          <w:p>
            <w:pPr>
              <w:spacing w:line="460" w:lineRule="exact"/>
              <w:ind w:firstLine="0"/>
              <w:jc w:val="center"/>
              <w:rPr>
                <w:rFonts w:ascii="仿宋" w:hAnsi="仿宋" w:cs="仿宋"/>
                <w:b/>
                <w:color w:val="auto"/>
                <w:kern w:val="0"/>
                <w:szCs w:val="24"/>
              </w:rPr>
            </w:pPr>
          </w:p>
        </w:tc>
        <w:tc>
          <w:tcPr>
            <w:tcW w:w="1187" w:type="dxa"/>
            <w:vMerge w:val="restart"/>
            <w:vAlign w:val="center"/>
          </w:tcPr>
          <w:p>
            <w:pPr>
              <w:spacing w:line="460" w:lineRule="exact"/>
              <w:ind w:firstLine="0"/>
              <w:jc w:val="center"/>
              <w:rPr>
                <w:rFonts w:ascii="仿宋" w:hAnsi="仿宋" w:cs="仿宋"/>
                <w:b/>
                <w:color w:val="auto"/>
                <w:kern w:val="0"/>
                <w:szCs w:val="24"/>
              </w:rPr>
            </w:pPr>
            <w:r>
              <w:rPr>
                <w:rFonts w:hint="eastAsia" w:ascii="仿宋" w:hAnsi="仿宋" w:cs="仿宋"/>
                <w:color w:val="auto"/>
                <w:kern w:val="0"/>
                <w:szCs w:val="24"/>
              </w:rPr>
              <w:t>其中</w:t>
            </w:r>
          </w:p>
        </w:tc>
        <w:tc>
          <w:tcPr>
            <w:tcW w:w="1488" w:type="dxa"/>
          </w:tcPr>
          <w:p>
            <w:pPr>
              <w:spacing w:line="460" w:lineRule="exact"/>
              <w:ind w:firstLine="0"/>
              <w:jc w:val="center"/>
              <w:rPr>
                <w:rFonts w:hint="eastAsia" w:ascii="仿宋" w:hAnsi="仿宋" w:eastAsia="仿宋" w:cs="仿宋"/>
                <w:b/>
                <w:color w:val="auto"/>
                <w:kern w:val="0"/>
                <w:szCs w:val="24"/>
                <w:lang w:eastAsia="zh-CN"/>
              </w:rPr>
            </w:pPr>
            <w:r>
              <w:rPr>
                <w:rFonts w:hint="eastAsia" w:ascii="仿宋" w:hAnsi="仿宋" w:cs="仿宋"/>
                <w:color w:val="auto"/>
                <w:kern w:val="0"/>
                <w:szCs w:val="24"/>
                <w:lang w:eastAsia="zh-CN"/>
              </w:rPr>
              <w:t>一级建造师</w:t>
            </w:r>
          </w:p>
        </w:tc>
        <w:tc>
          <w:tcPr>
            <w:tcW w:w="1992" w:type="dxa"/>
            <w:gridSpan w:val="2"/>
          </w:tcPr>
          <w:p>
            <w:pPr>
              <w:spacing w:line="460" w:lineRule="exact"/>
              <w:ind w:firstLine="0"/>
              <w:jc w:val="center"/>
              <w:rPr>
                <w:rFonts w:ascii="仿宋" w:hAnsi="仿宋" w:cs="仿宋"/>
                <w:b/>
                <w:color w:val="auto"/>
                <w:kern w:val="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5" w:type="dxa"/>
          </w:tcPr>
          <w:p>
            <w:pPr>
              <w:spacing w:line="460" w:lineRule="exact"/>
              <w:ind w:firstLine="0"/>
              <w:jc w:val="center"/>
              <w:rPr>
                <w:rFonts w:hint="default" w:ascii="仿宋" w:hAnsi="仿宋" w:eastAsia="仿宋" w:cs="仿宋"/>
                <w:color w:val="auto"/>
                <w:kern w:val="0"/>
                <w:szCs w:val="24"/>
                <w:lang w:val="en-US" w:eastAsia="zh-CN"/>
              </w:rPr>
            </w:pPr>
            <w:r>
              <w:rPr>
                <w:rFonts w:hint="eastAsia" w:ascii="仿宋" w:hAnsi="仿宋" w:cs="仿宋"/>
                <w:color w:val="auto"/>
                <w:kern w:val="0"/>
                <w:szCs w:val="24"/>
                <w:lang w:val="en-US" w:eastAsia="zh-CN"/>
              </w:rPr>
              <w:t>统一社会信用代码</w:t>
            </w:r>
          </w:p>
        </w:tc>
        <w:tc>
          <w:tcPr>
            <w:tcW w:w="1950" w:type="dxa"/>
            <w:gridSpan w:val="2"/>
          </w:tcPr>
          <w:p>
            <w:pPr>
              <w:spacing w:line="460" w:lineRule="exact"/>
              <w:ind w:firstLine="0"/>
              <w:jc w:val="center"/>
              <w:rPr>
                <w:rFonts w:ascii="仿宋" w:hAnsi="仿宋" w:cs="仿宋"/>
                <w:b/>
                <w:color w:val="auto"/>
                <w:kern w:val="0"/>
                <w:szCs w:val="24"/>
              </w:rPr>
            </w:pPr>
          </w:p>
        </w:tc>
        <w:tc>
          <w:tcPr>
            <w:tcW w:w="1187" w:type="dxa"/>
            <w:vMerge w:val="continue"/>
          </w:tcPr>
          <w:p>
            <w:pPr>
              <w:spacing w:line="460" w:lineRule="exact"/>
              <w:ind w:firstLine="0"/>
              <w:jc w:val="center"/>
              <w:rPr>
                <w:rFonts w:ascii="仿宋" w:hAnsi="仿宋" w:cs="仿宋"/>
                <w:b/>
                <w:color w:val="auto"/>
                <w:kern w:val="0"/>
                <w:szCs w:val="24"/>
              </w:rPr>
            </w:pPr>
          </w:p>
        </w:tc>
        <w:tc>
          <w:tcPr>
            <w:tcW w:w="1488" w:type="dxa"/>
          </w:tcPr>
          <w:p>
            <w:pPr>
              <w:spacing w:line="460" w:lineRule="exact"/>
              <w:ind w:firstLine="0"/>
              <w:jc w:val="center"/>
              <w:rPr>
                <w:rFonts w:hint="eastAsia" w:ascii="仿宋" w:hAnsi="仿宋" w:eastAsia="仿宋" w:cs="仿宋"/>
                <w:b/>
                <w:color w:val="auto"/>
                <w:kern w:val="0"/>
                <w:szCs w:val="24"/>
                <w:lang w:eastAsia="zh-CN"/>
              </w:rPr>
            </w:pPr>
            <w:r>
              <w:rPr>
                <w:rFonts w:hint="eastAsia" w:ascii="仿宋" w:hAnsi="仿宋" w:cs="仿宋"/>
                <w:color w:val="auto"/>
                <w:kern w:val="0"/>
                <w:szCs w:val="24"/>
                <w:lang w:eastAsia="zh-CN"/>
              </w:rPr>
              <w:t>二级建造师</w:t>
            </w:r>
          </w:p>
        </w:tc>
        <w:tc>
          <w:tcPr>
            <w:tcW w:w="1992" w:type="dxa"/>
            <w:gridSpan w:val="2"/>
          </w:tcPr>
          <w:p>
            <w:pPr>
              <w:spacing w:line="460" w:lineRule="exact"/>
              <w:ind w:firstLine="0"/>
              <w:jc w:val="center"/>
              <w:rPr>
                <w:rFonts w:ascii="仿宋" w:hAnsi="仿宋" w:cs="仿宋"/>
                <w:b/>
                <w:color w:val="auto"/>
                <w:kern w:val="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5" w:type="dxa"/>
          </w:tcPr>
          <w:p>
            <w:pPr>
              <w:spacing w:line="460" w:lineRule="exact"/>
              <w:ind w:firstLine="0"/>
              <w:jc w:val="center"/>
              <w:rPr>
                <w:rFonts w:ascii="仿宋" w:hAnsi="仿宋" w:cs="仿宋"/>
                <w:color w:val="auto"/>
                <w:kern w:val="0"/>
                <w:szCs w:val="24"/>
              </w:rPr>
            </w:pPr>
            <w:r>
              <w:rPr>
                <w:rFonts w:hint="eastAsia" w:ascii="仿宋" w:hAnsi="仿宋" w:cs="仿宋"/>
                <w:color w:val="auto"/>
                <w:kern w:val="0"/>
                <w:szCs w:val="24"/>
              </w:rPr>
              <w:t>注册资金</w:t>
            </w:r>
          </w:p>
        </w:tc>
        <w:tc>
          <w:tcPr>
            <w:tcW w:w="1950" w:type="dxa"/>
            <w:gridSpan w:val="2"/>
          </w:tcPr>
          <w:p>
            <w:pPr>
              <w:spacing w:line="460" w:lineRule="exact"/>
              <w:ind w:firstLine="0"/>
              <w:jc w:val="center"/>
              <w:rPr>
                <w:rFonts w:ascii="仿宋" w:hAnsi="仿宋" w:cs="仿宋"/>
                <w:b/>
                <w:color w:val="auto"/>
                <w:kern w:val="0"/>
                <w:szCs w:val="24"/>
              </w:rPr>
            </w:pPr>
          </w:p>
        </w:tc>
        <w:tc>
          <w:tcPr>
            <w:tcW w:w="1187" w:type="dxa"/>
            <w:vMerge w:val="continue"/>
          </w:tcPr>
          <w:p>
            <w:pPr>
              <w:spacing w:line="460" w:lineRule="exact"/>
              <w:ind w:firstLine="0"/>
              <w:jc w:val="center"/>
              <w:rPr>
                <w:rFonts w:ascii="仿宋" w:hAnsi="仿宋" w:cs="仿宋"/>
                <w:b/>
                <w:color w:val="auto"/>
                <w:kern w:val="0"/>
                <w:szCs w:val="24"/>
              </w:rPr>
            </w:pPr>
          </w:p>
        </w:tc>
        <w:tc>
          <w:tcPr>
            <w:tcW w:w="1488" w:type="dxa"/>
          </w:tcPr>
          <w:p>
            <w:pPr>
              <w:spacing w:line="460" w:lineRule="exact"/>
              <w:ind w:firstLine="0"/>
              <w:jc w:val="center"/>
              <w:rPr>
                <w:rFonts w:hint="eastAsia" w:ascii="仿宋" w:hAnsi="仿宋" w:eastAsia="仿宋" w:cs="仿宋"/>
                <w:b/>
                <w:color w:val="auto"/>
                <w:kern w:val="0"/>
                <w:szCs w:val="24"/>
                <w:lang w:eastAsia="zh-CN"/>
              </w:rPr>
            </w:pPr>
            <w:r>
              <w:rPr>
                <w:rFonts w:hint="eastAsia" w:ascii="仿宋" w:hAnsi="仿宋" w:cs="仿宋"/>
                <w:color w:val="auto"/>
                <w:kern w:val="0"/>
                <w:szCs w:val="24"/>
                <w:lang w:eastAsia="zh-CN"/>
              </w:rPr>
              <w:t>一级造价师</w:t>
            </w:r>
          </w:p>
        </w:tc>
        <w:tc>
          <w:tcPr>
            <w:tcW w:w="1992" w:type="dxa"/>
            <w:gridSpan w:val="2"/>
          </w:tcPr>
          <w:p>
            <w:pPr>
              <w:spacing w:line="460" w:lineRule="exact"/>
              <w:ind w:firstLine="0"/>
              <w:jc w:val="center"/>
              <w:rPr>
                <w:rFonts w:ascii="仿宋" w:hAnsi="仿宋" w:cs="仿宋"/>
                <w:b/>
                <w:color w:val="auto"/>
                <w:kern w:val="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5" w:type="dxa"/>
          </w:tcPr>
          <w:p>
            <w:pPr>
              <w:spacing w:line="460" w:lineRule="exact"/>
              <w:ind w:firstLine="0"/>
              <w:jc w:val="center"/>
              <w:rPr>
                <w:rFonts w:ascii="仿宋" w:hAnsi="仿宋" w:cs="仿宋"/>
                <w:color w:val="auto"/>
                <w:kern w:val="0"/>
                <w:szCs w:val="24"/>
              </w:rPr>
            </w:pPr>
            <w:r>
              <w:rPr>
                <w:rFonts w:hint="eastAsia" w:ascii="仿宋" w:hAnsi="仿宋" w:cs="仿宋"/>
                <w:color w:val="auto"/>
                <w:kern w:val="0"/>
                <w:szCs w:val="24"/>
              </w:rPr>
              <w:t>开户银行</w:t>
            </w:r>
          </w:p>
        </w:tc>
        <w:tc>
          <w:tcPr>
            <w:tcW w:w="1950" w:type="dxa"/>
            <w:gridSpan w:val="2"/>
          </w:tcPr>
          <w:p>
            <w:pPr>
              <w:spacing w:line="460" w:lineRule="exact"/>
              <w:ind w:firstLine="0"/>
              <w:jc w:val="center"/>
              <w:rPr>
                <w:rFonts w:ascii="仿宋" w:hAnsi="仿宋" w:cs="仿宋"/>
                <w:b/>
                <w:color w:val="auto"/>
                <w:kern w:val="0"/>
                <w:szCs w:val="24"/>
              </w:rPr>
            </w:pPr>
          </w:p>
        </w:tc>
        <w:tc>
          <w:tcPr>
            <w:tcW w:w="1187" w:type="dxa"/>
            <w:vMerge w:val="continue"/>
          </w:tcPr>
          <w:p>
            <w:pPr>
              <w:spacing w:line="460" w:lineRule="exact"/>
              <w:ind w:firstLine="0"/>
              <w:jc w:val="center"/>
              <w:rPr>
                <w:rFonts w:ascii="仿宋" w:hAnsi="仿宋" w:cs="仿宋"/>
                <w:b/>
                <w:color w:val="auto"/>
                <w:kern w:val="0"/>
                <w:szCs w:val="24"/>
              </w:rPr>
            </w:pPr>
          </w:p>
        </w:tc>
        <w:tc>
          <w:tcPr>
            <w:tcW w:w="1488" w:type="dxa"/>
          </w:tcPr>
          <w:p>
            <w:pPr>
              <w:spacing w:line="460" w:lineRule="exact"/>
              <w:ind w:firstLine="0"/>
              <w:jc w:val="center"/>
              <w:rPr>
                <w:rFonts w:hint="eastAsia" w:ascii="仿宋" w:hAnsi="仿宋" w:eastAsia="仿宋" w:cs="仿宋"/>
                <w:b/>
                <w:color w:val="auto"/>
                <w:kern w:val="0"/>
                <w:szCs w:val="24"/>
                <w:lang w:eastAsia="zh-CN"/>
              </w:rPr>
            </w:pPr>
            <w:r>
              <w:rPr>
                <w:rFonts w:hint="eastAsia" w:ascii="仿宋" w:hAnsi="仿宋" w:cs="仿宋"/>
                <w:color w:val="auto"/>
                <w:kern w:val="0"/>
                <w:szCs w:val="24"/>
                <w:lang w:eastAsia="zh-CN"/>
              </w:rPr>
              <w:t>二级造价师</w:t>
            </w:r>
          </w:p>
        </w:tc>
        <w:tc>
          <w:tcPr>
            <w:tcW w:w="1992" w:type="dxa"/>
            <w:gridSpan w:val="2"/>
          </w:tcPr>
          <w:p>
            <w:pPr>
              <w:spacing w:line="460" w:lineRule="exact"/>
              <w:ind w:firstLine="0"/>
              <w:jc w:val="center"/>
              <w:rPr>
                <w:rFonts w:ascii="仿宋" w:hAnsi="仿宋" w:cs="仿宋"/>
                <w:b/>
                <w:color w:val="auto"/>
                <w:kern w:val="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5" w:type="dxa"/>
          </w:tcPr>
          <w:p>
            <w:pPr>
              <w:spacing w:line="460" w:lineRule="exact"/>
              <w:ind w:firstLine="0"/>
              <w:jc w:val="center"/>
              <w:rPr>
                <w:rFonts w:ascii="仿宋" w:hAnsi="仿宋" w:cs="仿宋"/>
                <w:color w:val="auto"/>
                <w:kern w:val="0"/>
                <w:szCs w:val="24"/>
              </w:rPr>
            </w:pPr>
            <w:r>
              <w:rPr>
                <w:rFonts w:hint="eastAsia" w:ascii="仿宋" w:hAnsi="仿宋" w:cs="仿宋"/>
                <w:color w:val="auto"/>
                <w:kern w:val="0"/>
                <w:szCs w:val="24"/>
              </w:rPr>
              <w:t>账号</w:t>
            </w:r>
          </w:p>
        </w:tc>
        <w:tc>
          <w:tcPr>
            <w:tcW w:w="1950" w:type="dxa"/>
            <w:gridSpan w:val="2"/>
          </w:tcPr>
          <w:p>
            <w:pPr>
              <w:spacing w:line="460" w:lineRule="exact"/>
              <w:ind w:firstLine="0"/>
              <w:jc w:val="center"/>
              <w:rPr>
                <w:rFonts w:ascii="仿宋" w:hAnsi="仿宋" w:cs="仿宋"/>
                <w:b/>
                <w:color w:val="auto"/>
                <w:kern w:val="0"/>
                <w:szCs w:val="24"/>
              </w:rPr>
            </w:pPr>
          </w:p>
        </w:tc>
        <w:tc>
          <w:tcPr>
            <w:tcW w:w="1187" w:type="dxa"/>
            <w:vMerge w:val="continue"/>
          </w:tcPr>
          <w:p>
            <w:pPr>
              <w:spacing w:line="460" w:lineRule="exact"/>
              <w:ind w:firstLine="0"/>
              <w:jc w:val="center"/>
              <w:rPr>
                <w:rFonts w:ascii="仿宋" w:hAnsi="仿宋" w:cs="仿宋"/>
                <w:b/>
                <w:color w:val="auto"/>
                <w:kern w:val="0"/>
                <w:szCs w:val="24"/>
              </w:rPr>
            </w:pPr>
          </w:p>
        </w:tc>
        <w:tc>
          <w:tcPr>
            <w:tcW w:w="1488" w:type="dxa"/>
          </w:tcPr>
          <w:p>
            <w:pPr>
              <w:spacing w:line="460" w:lineRule="exact"/>
              <w:ind w:firstLine="0"/>
              <w:jc w:val="center"/>
              <w:rPr>
                <w:rFonts w:hint="eastAsia" w:ascii="仿宋" w:hAnsi="仿宋" w:eastAsia="仿宋" w:cs="仿宋"/>
                <w:b/>
                <w:color w:val="auto"/>
                <w:kern w:val="0"/>
                <w:szCs w:val="24"/>
                <w:lang w:eastAsia="zh-CN"/>
              </w:rPr>
            </w:pPr>
            <w:r>
              <w:rPr>
                <w:rFonts w:hint="eastAsia" w:ascii="仿宋" w:hAnsi="仿宋" w:cs="仿宋"/>
                <w:color w:val="auto"/>
                <w:kern w:val="0"/>
                <w:szCs w:val="24"/>
                <w:lang w:eastAsia="zh-CN"/>
              </w:rPr>
              <w:t>造价员</w:t>
            </w:r>
          </w:p>
        </w:tc>
        <w:tc>
          <w:tcPr>
            <w:tcW w:w="1992" w:type="dxa"/>
            <w:gridSpan w:val="2"/>
          </w:tcPr>
          <w:p>
            <w:pPr>
              <w:spacing w:line="460" w:lineRule="exact"/>
              <w:ind w:firstLine="0"/>
              <w:jc w:val="center"/>
              <w:rPr>
                <w:rFonts w:ascii="仿宋" w:hAnsi="仿宋" w:cs="仿宋"/>
                <w:b/>
                <w:color w:val="auto"/>
                <w:kern w:val="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5" w:type="dxa"/>
          </w:tcPr>
          <w:p>
            <w:pPr>
              <w:spacing w:line="460" w:lineRule="exact"/>
              <w:ind w:firstLine="0"/>
              <w:jc w:val="center"/>
              <w:rPr>
                <w:rFonts w:ascii="仿宋" w:hAnsi="仿宋" w:cs="仿宋"/>
                <w:color w:val="auto"/>
                <w:kern w:val="0"/>
                <w:szCs w:val="24"/>
              </w:rPr>
            </w:pPr>
            <w:r>
              <w:rPr>
                <w:rFonts w:hint="eastAsia" w:ascii="仿宋" w:hAnsi="仿宋" w:cs="仿宋"/>
                <w:color w:val="auto"/>
                <w:kern w:val="0"/>
                <w:szCs w:val="24"/>
              </w:rPr>
              <w:t>经营范围</w:t>
            </w:r>
          </w:p>
        </w:tc>
        <w:tc>
          <w:tcPr>
            <w:tcW w:w="6617" w:type="dxa"/>
            <w:gridSpan w:val="6"/>
          </w:tcPr>
          <w:p>
            <w:pPr>
              <w:spacing w:line="460" w:lineRule="exact"/>
              <w:ind w:firstLine="0"/>
              <w:jc w:val="center"/>
              <w:rPr>
                <w:rFonts w:ascii="仿宋" w:hAnsi="仿宋" w:cs="仿宋"/>
                <w:b/>
                <w:color w:val="auto"/>
                <w:kern w:val="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5" w:type="dxa"/>
          </w:tcPr>
          <w:p>
            <w:pPr>
              <w:spacing w:line="460" w:lineRule="exact"/>
              <w:ind w:firstLine="0"/>
              <w:jc w:val="center"/>
              <w:rPr>
                <w:rFonts w:ascii="仿宋" w:hAnsi="仿宋" w:cs="仿宋"/>
                <w:color w:val="auto"/>
                <w:kern w:val="0"/>
                <w:szCs w:val="24"/>
              </w:rPr>
            </w:pPr>
            <w:r>
              <w:rPr>
                <w:rFonts w:hint="eastAsia" w:ascii="仿宋" w:hAnsi="仿宋" w:cs="仿宋"/>
                <w:color w:val="auto"/>
                <w:kern w:val="0"/>
                <w:szCs w:val="24"/>
              </w:rPr>
              <w:t>备注</w:t>
            </w:r>
          </w:p>
        </w:tc>
        <w:tc>
          <w:tcPr>
            <w:tcW w:w="6617" w:type="dxa"/>
            <w:gridSpan w:val="6"/>
          </w:tcPr>
          <w:p>
            <w:pPr>
              <w:spacing w:line="460" w:lineRule="exact"/>
              <w:ind w:firstLine="0"/>
              <w:jc w:val="center"/>
              <w:rPr>
                <w:rFonts w:ascii="仿宋" w:hAnsi="仿宋" w:cs="仿宋"/>
                <w:b/>
                <w:color w:val="auto"/>
                <w:kern w:val="0"/>
                <w:szCs w:val="24"/>
              </w:rPr>
            </w:pPr>
          </w:p>
        </w:tc>
      </w:tr>
    </w:tbl>
    <w:p>
      <w:pPr>
        <w:spacing w:line="640" w:lineRule="exact"/>
        <w:ind w:firstLine="0"/>
        <w:jc w:val="left"/>
        <w:rPr>
          <w:rFonts w:ascii="Times New Roman" w:hAnsi="Times New Roman" w:cs="Times New Roman"/>
          <w:color w:val="auto"/>
          <w:sz w:val="32"/>
          <w:szCs w:val="32"/>
        </w:rPr>
      </w:pPr>
    </w:p>
    <w:p>
      <w:pPr>
        <w:spacing w:line="460" w:lineRule="exact"/>
        <w:ind w:firstLine="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意向供应商名称（盖章）：</w:t>
      </w:r>
    </w:p>
    <w:p>
      <w:pPr>
        <w:spacing w:line="460" w:lineRule="exact"/>
        <w:ind w:firstLine="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法定代表人/负责人或授权代表（签字或盖章）：</w:t>
      </w:r>
    </w:p>
    <w:p>
      <w:pPr>
        <w:spacing w:line="460" w:lineRule="exact"/>
        <w:ind w:firstLine="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    期：</w:t>
      </w:r>
    </w:p>
    <w:p>
      <w:pPr>
        <w:pStyle w:val="2"/>
        <w:rPr>
          <w:rFonts w:ascii="仿宋_GB2312" w:hAnsi="仿宋_GB2312" w:eastAsia="仿宋_GB2312" w:cs="仿宋_GB2312"/>
          <w:color w:val="auto"/>
          <w:sz w:val="28"/>
          <w:szCs w:val="28"/>
        </w:rPr>
        <w:sectPr>
          <w:pgSz w:w="11906" w:h="16838"/>
          <w:pgMar w:top="1440" w:right="1803" w:bottom="1440" w:left="1803" w:header="851" w:footer="992" w:gutter="0"/>
          <w:cols w:space="0" w:num="1"/>
          <w:rtlGutter w:val="0"/>
          <w:docGrid w:type="lines" w:linePitch="332" w:charSpace="0"/>
        </w:sectPr>
      </w:pPr>
    </w:p>
    <w:p>
      <w:pPr>
        <w:spacing w:afterLines="50" w:line="640" w:lineRule="exact"/>
        <w:ind w:firstLine="0"/>
        <w:rPr>
          <w:rFonts w:hint="default" w:ascii="Times New Roman" w:hAnsi="Times New Roman" w:eastAsia="仿宋_GB2312" w:cs="Times New Roman"/>
          <w:b/>
          <w:color w:val="auto"/>
          <w:sz w:val="36"/>
          <w:szCs w:val="32"/>
          <w:lang w:val="en-US"/>
        </w:rPr>
      </w:pPr>
      <w:r>
        <w:rPr>
          <w:rFonts w:hint="eastAsia" w:ascii="Times New Roman" w:hAnsi="Times New Roman" w:eastAsia="仿宋_GB2312" w:cs="Times New Roman"/>
          <w:b/>
          <w:color w:val="auto"/>
          <w:sz w:val="36"/>
          <w:szCs w:val="32"/>
          <w:lang w:eastAsia="zh-CN"/>
        </w:rPr>
        <w:t>格式</w:t>
      </w:r>
      <w:r>
        <w:rPr>
          <w:rFonts w:hint="eastAsia" w:ascii="Times New Roman" w:hAnsi="Times New Roman" w:eastAsia="仿宋_GB2312" w:cs="Times New Roman"/>
          <w:b/>
          <w:color w:val="auto"/>
          <w:sz w:val="36"/>
          <w:szCs w:val="32"/>
          <w:lang w:val="en-US" w:eastAsia="zh-CN"/>
        </w:rPr>
        <w:t>4</w:t>
      </w:r>
    </w:p>
    <w:p>
      <w:pPr>
        <w:spacing w:afterLines="50" w:line="640" w:lineRule="exact"/>
        <w:ind w:firstLine="0"/>
        <w:jc w:val="center"/>
        <w:rPr>
          <w:rFonts w:ascii="Times New Roman" w:hAnsi="Times New Roman" w:eastAsia="仿宋_GB2312" w:cs="Times New Roman"/>
          <w:b/>
          <w:color w:val="auto"/>
          <w:sz w:val="36"/>
          <w:szCs w:val="32"/>
        </w:rPr>
      </w:pPr>
      <w:r>
        <w:rPr>
          <w:rFonts w:ascii="Times New Roman" w:hAnsi="Times New Roman" w:eastAsia="仿宋_GB2312" w:cs="Times New Roman"/>
          <w:b/>
          <w:color w:val="auto"/>
          <w:sz w:val="36"/>
          <w:szCs w:val="32"/>
        </w:rPr>
        <w:t>法定代表人授权书</w:t>
      </w:r>
    </w:p>
    <w:p>
      <w:pPr>
        <w:spacing w:line="460" w:lineRule="exact"/>
        <w:ind w:firstLine="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广元市利州区文旅投资集团有限公司</w:t>
      </w:r>
      <w:r>
        <w:rPr>
          <w:rFonts w:hint="eastAsia" w:ascii="仿宋_GB2312" w:hAnsi="仿宋_GB2312" w:eastAsia="仿宋_GB2312" w:cs="仿宋_GB2312"/>
          <w:color w:val="auto"/>
          <w:sz w:val="28"/>
          <w:szCs w:val="28"/>
        </w:rPr>
        <w:t>：</w:t>
      </w:r>
    </w:p>
    <w:p>
      <w:pPr>
        <w:spacing w:line="460" w:lineRule="exac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本授权声明：                     （意向供应商名称）法定代表人       （姓名、职务）授权         （被授权人姓名、职务）为我方</w:t>
      </w:r>
      <w:r>
        <w:rPr>
          <w:rFonts w:hint="eastAsia" w:ascii="仿宋_GB2312" w:hAnsi="仿宋_GB2312" w:eastAsia="仿宋_GB2312" w:cs="仿宋_GB2312"/>
          <w:color w:val="auto"/>
          <w:sz w:val="28"/>
          <w:szCs w:val="28"/>
          <w:u w:val="single"/>
        </w:rPr>
        <w:t xml:space="preserve">             项目(文件编号：   )</w:t>
      </w:r>
      <w:r>
        <w:rPr>
          <w:rFonts w:hint="eastAsia" w:ascii="仿宋_GB2312" w:hAnsi="仿宋_GB2312" w:eastAsia="仿宋_GB2312" w:cs="仿宋_GB2312"/>
          <w:color w:val="auto"/>
          <w:sz w:val="28"/>
          <w:szCs w:val="28"/>
        </w:rPr>
        <w:t>的合法代表，以我方名义全权处理该采购项目有关资料提交、登记报名、网络竞价、《成交通知书》领取、采购合同签订等事宜。</w:t>
      </w:r>
    </w:p>
    <w:p>
      <w:pPr>
        <w:spacing w:line="46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特此委托。</w:t>
      </w:r>
    </w:p>
    <w:p>
      <w:pPr>
        <w:spacing w:line="460" w:lineRule="exact"/>
        <w:jc w:val="left"/>
        <w:rPr>
          <w:rFonts w:ascii="仿宋_GB2312" w:hAnsi="仿宋_GB2312" w:eastAsia="仿宋_GB2312" w:cs="仿宋_GB2312"/>
          <w:color w:val="auto"/>
          <w:sz w:val="28"/>
          <w:szCs w:val="28"/>
        </w:rPr>
      </w:pPr>
    </w:p>
    <w:p>
      <w:pPr>
        <w:spacing w:line="460" w:lineRule="exact"/>
        <w:ind w:firstLine="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法定代表人（签字或盖章）：</w:t>
      </w:r>
    </w:p>
    <w:p>
      <w:pPr>
        <w:spacing w:line="460" w:lineRule="exact"/>
        <w:ind w:firstLine="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授权代表（签字）：</w:t>
      </w:r>
    </w:p>
    <w:p>
      <w:pPr>
        <w:spacing w:line="460" w:lineRule="exact"/>
        <w:ind w:firstLine="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意向供应商名称（盖章）：</w:t>
      </w:r>
    </w:p>
    <w:p>
      <w:pPr>
        <w:spacing w:line="460" w:lineRule="exact"/>
        <w:ind w:firstLine="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    期：</w:t>
      </w:r>
    </w:p>
    <w:p>
      <w:pPr>
        <w:spacing w:afterLines="50" w:line="640" w:lineRule="exact"/>
        <w:ind w:firstLine="0"/>
        <w:jc w:val="center"/>
        <w:rPr>
          <w:rFonts w:ascii="仿宋_GB2312" w:hAnsi="仿宋_GB2312" w:eastAsia="仿宋_GB2312" w:cs="仿宋_GB2312"/>
          <w:color w:val="auto"/>
          <w:sz w:val="28"/>
          <w:szCs w:val="28"/>
        </w:rPr>
      </w:pPr>
    </w:p>
    <w:p>
      <w:pPr>
        <w:widowControl/>
        <w:spacing w:line="240" w:lineRule="auto"/>
        <w:ind w:firstLine="0"/>
        <w:jc w:val="left"/>
        <w:rPr>
          <w:rFonts w:ascii="仿宋_GB2312" w:hAnsi="仿宋_GB2312" w:eastAsia="仿宋_GB2312" w:cs="仿宋_GB2312"/>
          <w:color w:val="auto"/>
          <w:kern w:val="0"/>
          <w:sz w:val="28"/>
          <w:szCs w:val="28"/>
        </w:rPr>
        <w:sectPr>
          <w:pgSz w:w="11906" w:h="16838"/>
          <w:pgMar w:top="1440" w:right="1803" w:bottom="1440" w:left="1803" w:header="851" w:footer="992" w:gutter="0"/>
          <w:cols w:space="0" w:num="1"/>
          <w:rtlGutter w:val="0"/>
          <w:docGrid w:type="lines" w:linePitch="332" w:charSpace="0"/>
        </w:sectPr>
      </w:pPr>
    </w:p>
    <w:p>
      <w:pPr>
        <w:spacing w:afterLines="50" w:line="460" w:lineRule="exact"/>
        <w:ind w:firstLine="0"/>
        <w:rPr>
          <w:rFonts w:hint="default" w:ascii="Times New Roman" w:hAnsi="Times New Roman" w:eastAsia="仿宋_GB2312" w:cs="Times New Roman"/>
          <w:b/>
          <w:color w:val="auto"/>
          <w:sz w:val="36"/>
          <w:szCs w:val="32"/>
          <w:lang w:val="en-US"/>
        </w:rPr>
      </w:pPr>
      <w:r>
        <w:rPr>
          <w:rFonts w:hint="eastAsia" w:ascii="Times New Roman" w:hAnsi="Times New Roman" w:eastAsia="仿宋_GB2312" w:cs="Times New Roman"/>
          <w:b/>
          <w:color w:val="auto"/>
          <w:sz w:val="36"/>
          <w:szCs w:val="32"/>
          <w:lang w:eastAsia="zh-CN"/>
        </w:rPr>
        <w:t>格式</w:t>
      </w:r>
      <w:r>
        <w:rPr>
          <w:rFonts w:hint="eastAsia" w:ascii="Times New Roman" w:hAnsi="Times New Roman" w:eastAsia="仿宋_GB2312" w:cs="Times New Roman"/>
          <w:b/>
          <w:color w:val="auto"/>
          <w:sz w:val="36"/>
          <w:szCs w:val="32"/>
          <w:lang w:val="en-US" w:eastAsia="zh-CN"/>
        </w:rPr>
        <w:t>5</w:t>
      </w:r>
    </w:p>
    <w:p>
      <w:pPr>
        <w:spacing w:line="460" w:lineRule="exact"/>
        <w:ind w:firstLine="0"/>
        <w:jc w:val="center"/>
        <w:rPr>
          <w:rFonts w:ascii="Times New Roman" w:hAnsi="Times New Roman" w:eastAsia="仿宋_GB2312" w:cs="Times New Roman"/>
          <w:b/>
          <w:color w:val="auto"/>
          <w:sz w:val="36"/>
          <w:szCs w:val="32"/>
        </w:rPr>
      </w:pPr>
      <w:r>
        <w:rPr>
          <w:rFonts w:ascii="Times New Roman" w:hAnsi="Times New Roman" w:eastAsia="仿宋_GB2312" w:cs="Times New Roman"/>
          <w:b/>
          <w:color w:val="auto"/>
          <w:sz w:val="36"/>
          <w:szCs w:val="32"/>
        </w:rPr>
        <w:t>法定代表人、授权委托人身份证</w:t>
      </w:r>
      <w:r>
        <w:rPr>
          <w:rFonts w:hint="eastAsia" w:ascii="Times New Roman" w:hAnsi="Times New Roman" w:eastAsia="仿宋_GB2312" w:cs="Times New Roman"/>
          <w:b/>
          <w:color w:val="auto"/>
          <w:sz w:val="36"/>
          <w:szCs w:val="32"/>
          <w:lang w:eastAsia="zh-CN"/>
        </w:rPr>
        <w:t>扫描</w:t>
      </w:r>
      <w:r>
        <w:rPr>
          <w:rFonts w:ascii="Times New Roman" w:hAnsi="Times New Roman" w:eastAsia="仿宋_GB2312" w:cs="Times New Roman"/>
          <w:b/>
          <w:color w:val="auto"/>
          <w:sz w:val="36"/>
          <w:szCs w:val="32"/>
        </w:rPr>
        <w:t>件</w:t>
      </w:r>
    </w:p>
    <w:p>
      <w:pPr>
        <w:ind w:firstLine="0"/>
        <w:jc w:val="center"/>
        <w:rPr>
          <w:rFonts w:ascii="Times New Roman" w:hAnsi="Times New Roman" w:cs="Times New Roman"/>
          <w:b/>
          <w:color w:val="auto"/>
          <w:sz w:val="36"/>
          <w:szCs w:val="32"/>
        </w:rPr>
      </w:pPr>
    </w:p>
    <w:p>
      <w:pPr>
        <w:ind w:firstLine="0"/>
        <w:jc w:val="center"/>
        <w:rPr>
          <w:rFonts w:ascii="Times New Roman" w:hAnsi="Times New Roman" w:cs="Times New Roman"/>
          <w:b/>
          <w:color w:val="auto"/>
          <w:sz w:val="36"/>
          <w:szCs w:val="32"/>
        </w:rPr>
        <w:sectPr>
          <w:pgSz w:w="11906" w:h="16838"/>
          <w:pgMar w:top="1440" w:right="1803" w:bottom="1440" w:left="1803" w:header="851" w:footer="992" w:gutter="0"/>
          <w:cols w:space="0" w:num="1"/>
          <w:rtlGutter w:val="0"/>
          <w:docGrid w:type="lines" w:linePitch="332" w:charSpace="0"/>
        </w:sectPr>
      </w:pPr>
    </w:p>
    <w:p>
      <w:pPr>
        <w:ind w:left="0" w:leftChars="0" w:firstLine="0" w:firstLineChars="0"/>
      </w:pPr>
      <w:bookmarkStart w:id="18" w:name="_Toc1275"/>
    </w:p>
    <w:p>
      <w:pPr>
        <w:ind w:left="0" w:leftChars="0" w:firstLine="0" w:firstLineChars="0"/>
        <w:rPr>
          <w:rFonts w:hint="default" w:ascii="Times New Roman" w:hAnsi="Times New Roman" w:eastAsia="仿宋_GB2312" w:cs="Times New Roman"/>
          <w:b/>
          <w:color w:val="auto"/>
          <w:sz w:val="36"/>
          <w:szCs w:val="32"/>
          <w:lang w:val="en-US" w:eastAsia="zh-CN"/>
        </w:rPr>
      </w:pPr>
      <w:r>
        <w:rPr>
          <w:rFonts w:hint="eastAsia" w:ascii="Times New Roman" w:hAnsi="Times New Roman" w:eastAsia="仿宋_GB2312" w:cs="Times New Roman"/>
          <w:b/>
          <w:color w:val="auto"/>
          <w:sz w:val="36"/>
          <w:szCs w:val="32"/>
          <w:lang w:eastAsia="zh-CN"/>
        </w:rPr>
        <w:t>格式</w:t>
      </w:r>
      <w:r>
        <w:rPr>
          <w:rFonts w:hint="eastAsia" w:ascii="Times New Roman" w:hAnsi="Times New Roman" w:eastAsia="仿宋_GB2312" w:cs="Times New Roman"/>
          <w:b/>
          <w:color w:val="auto"/>
          <w:sz w:val="36"/>
          <w:szCs w:val="32"/>
          <w:lang w:val="en-US" w:eastAsia="zh-CN"/>
        </w:rPr>
        <w:t>6</w:t>
      </w:r>
    </w:p>
    <w:p>
      <w:pPr>
        <w:spacing w:afterLines="50" w:line="480" w:lineRule="exact"/>
        <w:ind w:firstLine="0"/>
        <w:jc w:val="center"/>
        <w:rPr>
          <w:rFonts w:ascii="Times New Roman" w:hAnsi="Times New Roman" w:eastAsia="仿宋_GB2312" w:cs="Times New Roman"/>
          <w:b/>
          <w:color w:val="auto"/>
          <w:sz w:val="36"/>
          <w:szCs w:val="32"/>
        </w:rPr>
      </w:pPr>
      <w:r>
        <w:rPr>
          <w:rFonts w:ascii="Times New Roman" w:hAnsi="Times New Roman" w:eastAsia="仿宋_GB2312" w:cs="Times New Roman"/>
          <w:b/>
          <w:color w:val="auto"/>
          <w:sz w:val="36"/>
          <w:szCs w:val="32"/>
        </w:rPr>
        <w:t>竞价承诺函</w:t>
      </w:r>
    </w:p>
    <w:p>
      <w:pPr>
        <w:spacing w:line="400" w:lineRule="exact"/>
        <w:ind w:firstLine="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广元利州区文旅投资集团有限公司</w:t>
      </w:r>
      <w:r>
        <w:rPr>
          <w:rFonts w:hint="eastAsia" w:ascii="仿宋_GB2312" w:hAnsi="仿宋_GB2312" w:eastAsia="仿宋_GB2312" w:cs="仿宋_GB2312"/>
          <w:color w:val="auto"/>
          <w:sz w:val="28"/>
          <w:szCs w:val="28"/>
        </w:rPr>
        <w:t>：</w:t>
      </w:r>
    </w:p>
    <w:p>
      <w:pPr>
        <w:widowControl/>
        <w:shd w:val="clear" w:color="auto" w:fill="FFFFFF"/>
        <w:spacing w:line="400" w:lineRule="exact"/>
        <w:ind w:firstLine="560" w:firstLineChars="200"/>
        <w:jc w:val="left"/>
        <w:rPr>
          <w:rFonts w:ascii="仿宋_GB2312" w:hAnsi="仿宋_GB2312" w:eastAsia="仿宋_GB2312" w:cs="仿宋_GB2312"/>
          <w:b/>
          <w:color w:val="auto"/>
          <w:sz w:val="28"/>
          <w:szCs w:val="28"/>
          <w:u w:val="single"/>
        </w:rPr>
      </w:pPr>
      <w:r>
        <w:rPr>
          <w:rFonts w:hint="eastAsia" w:ascii="仿宋_GB2312" w:hAnsi="仿宋_GB2312" w:eastAsia="仿宋_GB2312" w:cs="仿宋_GB2312"/>
          <w:color w:val="auto"/>
          <w:sz w:val="28"/>
          <w:szCs w:val="28"/>
        </w:rPr>
        <w:t>本方就参与</w:t>
      </w:r>
      <w:r>
        <w:rPr>
          <w:rFonts w:hint="eastAsia" w:ascii="仿宋_GB2312" w:hAnsi="仿宋_GB2312" w:eastAsia="仿宋_GB2312" w:cs="仿宋_GB2312"/>
          <w:color w:val="auto"/>
          <w:sz w:val="28"/>
          <w:szCs w:val="28"/>
          <w:u w:val="single"/>
        </w:rPr>
        <w:t xml:space="preserve">             项目(文件编号：   )</w:t>
      </w:r>
      <w:r>
        <w:rPr>
          <w:rFonts w:hint="eastAsia" w:ascii="仿宋_GB2312" w:hAnsi="仿宋_GB2312" w:eastAsia="仿宋_GB2312" w:cs="仿宋_GB2312"/>
          <w:color w:val="auto"/>
          <w:sz w:val="28"/>
          <w:szCs w:val="28"/>
        </w:rPr>
        <w:t xml:space="preserve">竞价活动做出如下承诺：          </w:t>
      </w:r>
    </w:p>
    <w:p>
      <w:pPr>
        <w:spacing w:line="400" w:lineRule="exact"/>
        <w:ind w:firstLine="64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一、本方同意按照竞价相关规定参加本项目竞价活动。</w:t>
      </w:r>
    </w:p>
    <w:p>
      <w:pPr>
        <w:spacing w:line="400" w:lineRule="exact"/>
        <w:ind w:firstLine="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二、本方对采购项目已充分了解，自愿遵守本次的相关规定。</w:t>
      </w:r>
    </w:p>
    <w:p>
      <w:pPr>
        <w:spacing w:line="400" w:lineRule="exact"/>
        <w:ind w:firstLine="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三、本方已完成对本项目的全面调查了解（包括但不限于查阅采购文件），对项目相关参数已充分知晓并认可。本方对报价行为负责，自行承担包括但不限于因所获取的项目信息不全面、误解等而产生的相应后果。</w:t>
      </w:r>
    </w:p>
    <w:p>
      <w:pPr>
        <w:spacing w:line="400" w:lineRule="exac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四</w:t>
      </w:r>
      <w:r>
        <w:rPr>
          <w:rFonts w:hint="eastAsia" w:ascii="仿宋_GB2312" w:hAnsi="仿宋_GB2312" w:eastAsia="仿宋_GB2312" w:cs="仿宋_GB2312"/>
          <w:color w:val="auto"/>
          <w:sz w:val="28"/>
          <w:szCs w:val="28"/>
        </w:rPr>
        <w:t>、本承诺书为不可撤销之承诺。</w:t>
      </w:r>
    </w:p>
    <w:p>
      <w:pPr>
        <w:spacing w:line="400" w:lineRule="exact"/>
        <w:ind w:firstLine="0"/>
        <w:jc w:val="left"/>
        <w:rPr>
          <w:rFonts w:ascii="仿宋_GB2312" w:hAnsi="仿宋_GB2312" w:eastAsia="仿宋_GB2312" w:cs="仿宋_GB2312"/>
          <w:color w:val="auto"/>
          <w:sz w:val="28"/>
          <w:szCs w:val="28"/>
        </w:rPr>
      </w:pPr>
    </w:p>
    <w:p>
      <w:pPr>
        <w:pStyle w:val="32"/>
        <w:rPr>
          <w:rFonts w:ascii="仿宋_GB2312" w:hAnsi="仿宋_GB2312" w:eastAsia="仿宋_GB2312" w:cs="仿宋_GB2312"/>
          <w:color w:val="auto"/>
          <w:sz w:val="28"/>
          <w:szCs w:val="28"/>
        </w:rPr>
      </w:pPr>
    </w:p>
    <w:p>
      <w:pPr>
        <w:spacing w:line="400" w:lineRule="exact"/>
        <w:ind w:firstLine="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承诺方：                       </w:t>
      </w:r>
    </w:p>
    <w:p>
      <w:pPr>
        <w:spacing w:line="400" w:lineRule="exact"/>
        <w:ind w:firstLine="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承诺方签章：</w:t>
      </w:r>
    </w:p>
    <w:p>
      <w:pPr>
        <w:spacing w:line="400" w:lineRule="exact"/>
        <w:ind w:firstLine="0"/>
        <w:jc w:val="left"/>
        <w:rPr>
          <w:rFonts w:hint="eastAsia" w:ascii="仿宋_GB2312" w:hAnsi="仿宋_GB2312" w:eastAsia="仿宋_GB2312" w:cs="仿宋_GB2312"/>
          <w:color w:val="auto"/>
          <w:sz w:val="28"/>
          <w:szCs w:val="28"/>
        </w:rPr>
        <w:sectPr>
          <w:pgSz w:w="11906" w:h="16838"/>
          <w:pgMar w:top="1440" w:right="1803" w:bottom="1440" w:left="1803" w:header="851" w:footer="992" w:gutter="0"/>
          <w:cols w:space="0" w:num="1"/>
          <w:rtlGutter w:val="0"/>
          <w:docGrid w:type="lines" w:linePitch="332" w:charSpace="0"/>
        </w:sectPr>
      </w:pPr>
      <w:r>
        <w:rPr>
          <w:rFonts w:hint="eastAsia" w:ascii="仿宋_GB2312" w:hAnsi="仿宋_GB2312" w:eastAsia="仿宋_GB2312" w:cs="仿宋_GB2312"/>
          <w:color w:val="auto"/>
          <w:sz w:val="28"/>
          <w:szCs w:val="28"/>
        </w:rPr>
        <w:t xml:space="preserve">                                     年   月   日</w:t>
      </w:r>
      <w:bookmarkStart w:id="19" w:name="_Toc17705"/>
    </w:p>
    <w:p>
      <w:pPr>
        <w:spacing w:afterLines="50" w:line="480" w:lineRule="exact"/>
        <w:ind w:firstLine="0"/>
        <w:rPr>
          <w:rFonts w:hint="default" w:ascii="Times New Roman" w:hAnsi="Times New Roman" w:eastAsia="仿宋_GB2312" w:cs="Times New Roman"/>
          <w:b/>
          <w:color w:val="auto"/>
          <w:sz w:val="36"/>
          <w:szCs w:val="32"/>
          <w:lang w:val="en-US" w:eastAsia="zh-CN"/>
        </w:rPr>
      </w:pPr>
      <w:r>
        <w:rPr>
          <w:rFonts w:hint="eastAsia" w:ascii="Times New Roman" w:hAnsi="Times New Roman" w:eastAsia="仿宋_GB2312" w:cs="Times New Roman"/>
          <w:b/>
          <w:color w:val="auto"/>
          <w:sz w:val="36"/>
          <w:szCs w:val="32"/>
          <w:lang w:eastAsia="zh-CN"/>
        </w:rPr>
        <w:t>格式</w:t>
      </w:r>
      <w:r>
        <w:rPr>
          <w:rFonts w:hint="eastAsia" w:ascii="Times New Roman" w:hAnsi="Times New Roman" w:eastAsia="仿宋_GB2312" w:cs="Times New Roman"/>
          <w:b/>
          <w:color w:val="auto"/>
          <w:sz w:val="36"/>
          <w:szCs w:val="32"/>
          <w:lang w:val="en-US" w:eastAsia="zh-CN"/>
        </w:rPr>
        <w:t>7</w:t>
      </w:r>
    </w:p>
    <w:p>
      <w:pPr>
        <w:pStyle w:val="3"/>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eastAsia" w:ascii="Times New Roman" w:hAnsi="Times New Roman" w:eastAsia="仿宋_GB2312" w:cs="Times New Roman"/>
          <w:b/>
          <w:color w:val="auto"/>
          <w:sz w:val="36"/>
          <w:szCs w:val="32"/>
          <w:lang w:val="en-US" w:eastAsia="zh-CN"/>
        </w:rPr>
      </w:pPr>
      <w:r>
        <w:rPr>
          <w:rFonts w:hint="eastAsia" w:ascii="Times New Roman" w:hAnsi="Times New Roman" w:eastAsia="仿宋_GB2312" w:cs="Times New Roman"/>
          <w:b/>
          <w:color w:val="auto"/>
          <w:sz w:val="36"/>
          <w:szCs w:val="32"/>
          <w:lang w:val="en-US" w:eastAsia="zh-CN"/>
        </w:rPr>
        <w:t>提供两个房建工程审计项目业绩的证明材料</w:t>
      </w:r>
    </w:p>
    <w:p>
      <w:pPr>
        <w:pStyle w:val="3"/>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eastAsia" w:ascii="仿宋" w:hAnsi="仿宋" w:eastAsia="仿宋" w:cs="仿宋"/>
          <w:color w:val="auto"/>
          <w:kern w:val="2"/>
          <w:sz w:val="28"/>
          <w:szCs w:val="28"/>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eastAsia" w:ascii="仿宋" w:hAnsi="仿宋" w:eastAsia="仿宋" w:cs="仿宋"/>
          <w:color w:val="auto"/>
          <w:kern w:val="2"/>
          <w:sz w:val="28"/>
          <w:szCs w:val="28"/>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eastAsia" w:ascii="仿宋" w:hAnsi="仿宋" w:eastAsia="仿宋" w:cs="仿宋"/>
          <w:color w:val="auto"/>
          <w:kern w:val="2"/>
          <w:sz w:val="28"/>
          <w:szCs w:val="28"/>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eastAsia" w:ascii="仿宋" w:hAnsi="仿宋" w:eastAsia="仿宋" w:cs="仿宋"/>
          <w:color w:val="auto"/>
          <w:kern w:val="2"/>
          <w:sz w:val="28"/>
          <w:szCs w:val="28"/>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eastAsia" w:ascii="仿宋" w:hAnsi="仿宋" w:eastAsia="仿宋" w:cs="仿宋"/>
          <w:color w:val="auto"/>
          <w:kern w:val="2"/>
          <w:sz w:val="28"/>
          <w:szCs w:val="28"/>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eastAsia" w:ascii="仿宋" w:hAnsi="仿宋" w:eastAsia="仿宋" w:cs="仿宋"/>
          <w:color w:val="auto"/>
          <w:kern w:val="2"/>
          <w:sz w:val="28"/>
          <w:szCs w:val="28"/>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eastAsia" w:ascii="仿宋" w:hAnsi="仿宋" w:eastAsia="仿宋" w:cs="仿宋"/>
          <w:color w:val="auto"/>
          <w:kern w:val="2"/>
          <w:sz w:val="28"/>
          <w:szCs w:val="28"/>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eastAsia" w:ascii="仿宋" w:hAnsi="仿宋" w:eastAsia="仿宋" w:cs="仿宋"/>
          <w:color w:val="auto"/>
          <w:kern w:val="2"/>
          <w:sz w:val="28"/>
          <w:szCs w:val="28"/>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eastAsia" w:ascii="仿宋" w:hAnsi="仿宋" w:eastAsia="仿宋" w:cs="仿宋"/>
          <w:color w:val="auto"/>
          <w:kern w:val="2"/>
          <w:sz w:val="28"/>
          <w:szCs w:val="28"/>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eastAsia" w:ascii="仿宋" w:hAnsi="仿宋" w:eastAsia="仿宋" w:cs="仿宋"/>
          <w:color w:val="auto"/>
          <w:kern w:val="2"/>
          <w:sz w:val="28"/>
          <w:szCs w:val="28"/>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eastAsia" w:ascii="仿宋" w:hAnsi="仿宋" w:eastAsia="仿宋" w:cs="仿宋"/>
          <w:color w:val="auto"/>
          <w:kern w:val="2"/>
          <w:sz w:val="28"/>
          <w:szCs w:val="28"/>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eastAsia" w:ascii="仿宋" w:hAnsi="仿宋" w:eastAsia="仿宋" w:cs="仿宋"/>
          <w:color w:val="auto"/>
          <w:kern w:val="2"/>
          <w:sz w:val="28"/>
          <w:szCs w:val="28"/>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eastAsia" w:ascii="仿宋" w:hAnsi="仿宋" w:eastAsia="仿宋" w:cs="仿宋"/>
          <w:color w:val="auto"/>
          <w:kern w:val="2"/>
          <w:sz w:val="28"/>
          <w:szCs w:val="28"/>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eastAsia" w:ascii="仿宋" w:hAnsi="仿宋" w:eastAsia="仿宋" w:cs="仿宋"/>
          <w:color w:val="auto"/>
          <w:kern w:val="2"/>
          <w:sz w:val="28"/>
          <w:szCs w:val="28"/>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eastAsia" w:ascii="仿宋" w:hAnsi="仿宋" w:eastAsia="仿宋" w:cs="仿宋"/>
          <w:color w:val="auto"/>
          <w:kern w:val="2"/>
          <w:sz w:val="28"/>
          <w:szCs w:val="28"/>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eastAsia" w:ascii="仿宋" w:hAnsi="仿宋" w:eastAsia="仿宋" w:cs="仿宋"/>
          <w:color w:val="auto"/>
          <w:kern w:val="2"/>
          <w:sz w:val="28"/>
          <w:szCs w:val="28"/>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eastAsia" w:ascii="仿宋" w:hAnsi="仿宋" w:eastAsia="仿宋" w:cs="仿宋"/>
          <w:color w:val="auto"/>
          <w:kern w:val="2"/>
          <w:sz w:val="28"/>
          <w:szCs w:val="28"/>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eastAsia" w:ascii="仿宋" w:hAnsi="仿宋" w:eastAsia="仿宋" w:cs="仿宋"/>
          <w:color w:val="auto"/>
          <w:kern w:val="2"/>
          <w:sz w:val="28"/>
          <w:szCs w:val="28"/>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eastAsia" w:ascii="仿宋" w:hAnsi="仿宋" w:eastAsia="仿宋" w:cs="仿宋"/>
          <w:color w:val="auto"/>
          <w:kern w:val="2"/>
          <w:sz w:val="28"/>
          <w:szCs w:val="28"/>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eastAsia" w:ascii="仿宋" w:hAnsi="仿宋" w:eastAsia="仿宋" w:cs="仿宋"/>
          <w:color w:val="auto"/>
          <w:kern w:val="2"/>
          <w:sz w:val="28"/>
          <w:szCs w:val="28"/>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eastAsia" w:ascii="仿宋" w:hAnsi="仿宋" w:eastAsia="仿宋" w:cs="仿宋"/>
          <w:color w:val="auto"/>
          <w:kern w:val="2"/>
          <w:sz w:val="28"/>
          <w:szCs w:val="28"/>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eastAsia" w:ascii="仿宋" w:hAnsi="仿宋" w:eastAsia="仿宋" w:cs="仿宋"/>
          <w:color w:val="auto"/>
          <w:kern w:val="2"/>
          <w:sz w:val="28"/>
          <w:szCs w:val="28"/>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eastAsia" w:ascii="仿宋" w:hAnsi="仿宋" w:eastAsia="仿宋" w:cs="仿宋"/>
          <w:color w:val="auto"/>
          <w:kern w:val="2"/>
          <w:sz w:val="28"/>
          <w:szCs w:val="28"/>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eastAsia" w:ascii="仿宋" w:hAnsi="仿宋" w:eastAsia="仿宋" w:cs="仿宋"/>
          <w:color w:val="auto"/>
          <w:kern w:val="2"/>
          <w:sz w:val="28"/>
          <w:szCs w:val="28"/>
          <w:lang w:val="en-US" w:eastAsia="zh-CN" w:bidi="ar-SA"/>
        </w:rPr>
      </w:pPr>
    </w:p>
    <w:p>
      <w:pPr>
        <w:spacing w:afterLines="50" w:line="480" w:lineRule="exact"/>
        <w:ind w:firstLine="0"/>
        <w:rPr>
          <w:rFonts w:hint="eastAsia" w:ascii="Times New Roman" w:hAnsi="Times New Roman" w:eastAsia="仿宋_GB2312" w:cs="Times New Roman"/>
          <w:b/>
          <w:color w:val="auto"/>
          <w:sz w:val="36"/>
          <w:szCs w:val="32"/>
          <w:lang w:val="en-US" w:eastAsia="zh-CN"/>
        </w:rPr>
      </w:pPr>
    </w:p>
    <w:p>
      <w:pPr>
        <w:spacing w:afterLines="50" w:line="480" w:lineRule="exact"/>
        <w:ind w:firstLine="0"/>
        <w:rPr>
          <w:rFonts w:hint="default" w:ascii="Times New Roman" w:hAnsi="Times New Roman" w:eastAsia="仿宋_GB2312" w:cs="Times New Roman"/>
          <w:b/>
          <w:color w:val="auto"/>
          <w:sz w:val="36"/>
          <w:szCs w:val="32"/>
          <w:lang w:val="en-US" w:eastAsia="zh-CN"/>
        </w:rPr>
      </w:pPr>
      <w:r>
        <w:rPr>
          <w:rFonts w:hint="eastAsia" w:ascii="Times New Roman" w:hAnsi="Times New Roman" w:eastAsia="仿宋_GB2312" w:cs="Times New Roman"/>
          <w:b/>
          <w:color w:val="auto"/>
          <w:sz w:val="36"/>
          <w:szCs w:val="32"/>
          <w:lang w:val="en-US" w:eastAsia="zh-CN"/>
        </w:rPr>
        <w:t>格式8</w:t>
      </w:r>
    </w:p>
    <w:p>
      <w:pPr>
        <w:pStyle w:val="3"/>
        <w:ind w:left="0" w:leftChars="0" w:firstLine="0" w:firstLineChars="0"/>
        <w:jc w:val="center"/>
        <w:rPr>
          <w:rFonts w:hint="default"/>
          <w:lang w:val="en-US" w:eastAsia="zh-CN"/>
        </w:rPr>
        <w:sectPr>
          <w:pgSz w:w="11906" w:h="16838"/>
          <w:pgMar w:top="1440" w:right="1803" w:bottom="1440" w:left="1803" w:header="851" w:footer="992" w:gutter="0"/>
          <w:cols w:space="0" w:num="1"/>
          <w:rtlGutter w:val="0"/>
          <w:docGrid w:type="lines" w:linePitch="332" w:charSpace="0"/>
        </w:sectPr>
      </w:pPr>
      <w:r>
        <w:rPr>
          <w:rFonts w:hint="eastAsia" w:ascii="Times New Roman" w:hAnsi="Times New Roman" w:eastAsia="仿宋_GB2312" w:cs="Times New Roman"/>
          <w:b/>
          <w:color w:val="auto"/>
          <w:sz w:val="36"/>
          <w:szCs w:val="32"/>
          <w:lang w:val="en-US" w:eastAsia="zh-CN"/>
        </w:rPr>
        <w:t>其他材料</w:t>
      </w:r>
    </w:p>
    <w:bookmarkEnd w:id="18"/>
    <w:bookmarkEnd w:id="19"/>
    <w:p>
      <w:pPr>
        <w:pStyle w:val="5"/>
        <w:keepNext w:val="0"/>
        <w:keepLines w:val="0"/>
        <w:numPr>
          <w:ilvl w:val="0"/>
          <w:numId w:val="0"/>
        </w:numPr>
        <w:spacing w:before="240" w:after="0" w:line="240" w:lineRule="auto"/>
        <w:jc w:val="center"/>
        <w:rPr>
          <w:rFonts w:ascii="Times New Roman" w:hAnsi="Times New Roman" w:eastAsia="仿宋_GB2312" w:cs="Times New Roman"/>
          <w:bCs w:val="0"/>
          <w:color w:val="auto"/>
          <w:sz w:val="40"/>
          <w:szCs w:val="44"/>
        </w:rPr>
      </w:pPr>
      <w:r>
        <w:rPr>
          <w:rFonts w:hint="eastAsia" w:ascii="Times New Roman" w:hAnsi="Times New Roman" w:eastAsia="仿宋_GB2312" w:cs="Times New Roman"/>
          <w:bCs w:val="0"/>
          <w:color w:val="auto"/>
          <w:sz w:val="40"/>
          <w:szCs w:val="44"/>
          <w:lang w:val="en-US" w:eastAsia="zh-CN"/>
        </w:rPr>
        <w:t xml:space="preserve">第六章 </w:t>
      </w:r>
      <w:r>
        <w:rPr>
          <w:rFonts w:ascii="Times New Roman" w:hAnsi="Times New Roman" w:eastAsia="仿宋_GB2312" w:cs="Times New Roman"/>
          <w:bCs w:val="0"/>
          <w:color w:val="auto"/>
          <w:sz w:val="40"/>
          <w:szCs w:val="44"/>
        </w:rPr>
        <w:t>采购合同（</w:t>
      </w:r>
      <w:r>
        <w:rPr>
          <w:rFonts w:hint="eastAsia" w:ascii="Times New Roman" w:hAnsi="Times New Roman" w:eastAsia="仿宋_GB2312" w:cs="Times New Roman"/>
          <w:bCs w:val="0"/>
          <w:color w:val="auto"/>
          <w:sz w:val="40"/>
          <w:szCs w:val="44"/>
          <w:lang w:eastAsia="zh-CN"/>
        </w:rPr>
        <w:t>草案</w:t>
      </w:r>
      <w:r>
        <w:rPr>
          <w:rFonts w:ascii="Times New Roman" w:hAnsi="Times New Roman" w:eastAsia="仿宋_GB2312" w:cs="Times New Roman"/>
          <w:bCs w:val="0"/>
          <w:color w:val="auto"/>
          <w:sz w:val="40"/>
          <w:szCs w:val="44"/>
        </w:rPr>
        <w:t>）</w:t>
      </w:r>
    </w:p>
    <w:p>
      <w:pPr>
        <w:adjustRightInd w:val="0"/>
        <w:snapToGrid w:val="0"/>
        <w:spacing w:line="360" w:lineRule="auto"/>
        <w:jc w:val="center"/>
        <w:rPr>
          <w:rFonts w:hint="eastAsia"/>
          <w:b/>
          <w:snapToGrid w:val="0"/>
          <w:sz w:val="20"/>
          <w:szCs w:val="20"/>
          <w:lang w:eastAsia="zh-CN"/>
        </w:rPr>
      </w:pPr>
    </w:p>
    <w:p>
      <w:pPr>
        <w:spacing w:line="360" w:lineRule="auto"/>
        <w:jc w:val="center"/>
        <w:rPr>
          <w:rFonts w:ascii="仿宋" w:hAnsi="仿宋" w:eastAsia="仿宋"/>
          <w:b/>
          <w:color w:val="000000"/>
          <w:sz w:val="72"/>
          <w:szCs w:val="72"/>
        </w:rPr>
      </w:pPr>
    </w:p>
    <w:p>
      <w:pPr>
        <w:spacing w:line="360" w:lineRule="auto"/>
        <w:jc w:val="center"/>
        <w:rPr>
          <w:rFonts w:ascii="仿宋" w:hAnsi="仿宋" w:eastAsia="仿宋"/>
          <w:b/>
          <w:color w:val="000000"/>
          <w:sz w:val="72"/>
          <w:szCs w:val="72"/>
        </w:rPr>
      </w:pPr>
    </w:p>
    <w:p>
      <w:pPr>
        <w:spacing w:line="360" w:lineRule="auto"/>
        <w:jc w:val="center"/>
        <w:rPr>
          <w:rFonts w:hint="eastAsia" w:ascii="仿宋" w:hAnsi="仿宋" w:eastAsia="仿宋"/>
          <w:b/>
          <w:color w:val="000000"/>
          <w:sz w:val="72"/>
          <w:szCs w:val="72"/>
          <w:lang w:eastAsia="zh-CN"/>
        </w:rPr>
      </w:pPr>
      <w:r>
        <w:rPr>
          <w:rFonts w:ascii="仿宋" w:hAnsi="仿宋" w:eastAsia="仿宋"/>
          <w:b/>
          <w:color w:val="000000"/>
          <w:sz w:val="72"/>
          <w:szCs w:val="72"/>
        </w:rPr>
        <w:t>建设工程</w:t>
      </w:r>
      <w:r>
        <w:rPr>
          <w:rFonts w:hint="eastAsia" w:ascii="仿宋" w:hAnsi="仿宋" w:eastAsia="仿宋"/>
          <w:b/>
          <w:color w:val="000000"/>
          <w:sz w:val="72"/>
          <w:szCs w:val="72"/>
          <w:lang w:eastAsia="zh-CN"/>
        </w:rPr>
        <w:t>造价咨询</w:t>
      </w:r>
      <w:r>
        <w:rPr>
          <w:rFonts w:ascii="仿宋" w:hAnsi="仿宋" w:eastAsia="仿宋"/>
          <w:b/>
          <w:color w:val="000000"/>
          <w:sz w:val="72"/>
          <w:szCs w:val="72"/>
        </w:rPr>
        <w:t>合同</w:t>
      </w:r>
    </w:p>
    <w:p>
      <w:pPr>
        <w:spacing w:line="360" w:lineRule="auto"/>
        <w:jc w:val="center"/>
        <w:rPr>
          <w:rFonts w:hint="eastAsia" w:ascii="仿宋" w:hAnsi="仿宋" w:eastAsia="仿宋"/>
          <w:bCs/>
          <w:sz w:val="48"/>
          <w:szCs w:val="48"/>
        </w:rPr>
      </w:pPr>
      <w:r>
        <w:rPr>
          <w:rFonts w:hint="eastAsia" w:ascii="仿宋" w:hAnsi="仿宋" w:eastAsia="仿宋"/>
          <w:b/>
          <w:sz w:val="32"/>
          <w:szCs w:val="32"/>
        </w:rPr>
        <w:t>（标准模板试行版）</w:t>
      </w:r>
    </w:p>
    <w:p>
      <w:pPr>
        <w:jc w:val="center"/>
        <w:rPr>
          <w:rFonts w:ascii="仿宋" w:hAnsi="仿宋" w:eastAsia="仿宋"/>
          <w:b/>
          <w:color w:val="000000"/>
          <w:sz w:val="52"/>
          <w:szCs w:val="52"/>
        </w:rPr>
      </w:pPr>
    </w:p>
    <w:p>
      <w:pPr>
        <w:jc w:val="center"/>
        <w:rPr>
          <w:rFonts w:ascii="仿宋" w:hAnsi="仿宋" w:eastAsia="仿宋"/>
          <w:b/>
          <w:color w:val="000000"/>
          <w:sz w:val="72"/>
          <w:szCs w:val="72"/>
        </w:rPr>
      </w:pPr>
    </w:p>
    <w:p>
      <w:pPr>
        <w:jc w:val="center"/>
        <w:rPr>
          <w:rFonts w:ascii="仿宋" w:hAnsi="仿宋" w:eastAsia="仿宋"/>
          <w:b/>
          <w:color w:val="000000"/>
          <w:sz w:val="72"/>
          <w:szCs w:val="72"/>
        </w:rPr>
      </w:pPr>
    </w:p>
    <w:p>
      <w:pPr>
        <w:jc w:val="center"/>
        <w:rPr>
          <w:rFonts w:ascii="仿宋" w:hAnsi="仿宋" w:eastAsia="仿宋"/>
          <w:b/>
          <w:color w:val="000000"/>
          <w:sz w:val="52"/>
          <w:szCs w:val="52"/>
        </w:rPr>
      </w:pPr>
    </w:p>
    <w:p>
      <w:pPr>
        <w:rPr>
          <w:rFonts w:ascii="仿宋" w:hAnsi="仿宋" w:eastAsia="仿宋"/>
          <w:b/>
          <w:color w:val="000000"/>
          <w:sz w:val="28"/>
          <w:szCs w:val="28"/>
        </w:rPr>
      </w:pPr>
    </w:p>
    <w:p>
      <w:pPr>
        <w:rPr>
          <w:rFonts w:ascii="仿宋" w:hAnsi="仿宋" w:eastAsia="仿宋"/>
          <w:b/>
          <w:color w:val="000000"/>
          <w:sz w:val="28"/>
          <w:szCs w:val="28"/>
        </w:rPr>
      </w:pPr>
    </w:p>
    <w:p>
      <w:pPr>
        <w:ind w:right="3108" w:rightChars="1295"/>
        <w:jc w:val="distribute"/>
        <w:rPr>
          <w:rFonts w:ascii="仿宋" w:hAnsi="仿宋" w:eastAsia="仿宋"/>
          <w:b/>
          <w:color w:val="000000"/>
          <w:sz w:val="32"/>
          <w:szCs w:val="28"/>
        </w:rPr>
      </w:pPr>
      <w:r>
        <w:rPr>
          <w:rFonts w:ascii="仿宋" w:hAnsi="仿宋" w:eastAsia="仿宋"/>
          <w:color w:val="000000"/>
        </w:rPr>
        <mc:AlternateContent>
          <mc:Choice Requires="wps">
            <w:drawing>
              <wp:anchor distT="0" distB="0" distL="114300" distR="114300" simplePos="0" relativeHeight="251660288"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60288;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BMA6w8EAgAADAQAAA4AAAAAAAAAAQAgAAAAJwEA&#10;AGRycy9lMm9Eb2MueG1sUEsFBgAAAAAGAAYAWQEAAJ0FAAAAAA==&#10;">
                <v:fill on="f" focussize="0,0"/>
                <v:stroke color="#FFFFFF" joinstyle="miter"/>
                <v:imagedata o:title=""/>
                <o:lock v:ext="edit" aspectratio="f"/>
                <v:textbox>
                  <w:txbxContent>
                    <w:p>
                      <w:pPr>
                        <w:rPr>
                          <w:rFonts w:hint="eastAsia"/>
                          <w:b/>
                          <w:bCs/>
                          <w:sz w:val="32"/>
                        </w:rPr>
                      </w:pPr>
                      <w:r>
                        <w:rPr>
                          <w:rFonts w:hint="eastAsia"/>
                          <w:b/>
                          <w:bCs/>
                          <w:sz w:val="32"/>
                        </w:rPr>
                        <w:t>制定</w:t>
                      </w:r>
                    </w:p>
                  </w:txbxContent>
                </v:textbox>
              </v:shape>
            </w:pict>
          </mc:Fallback>
        </mc:AlternateContent>
      </w:r>
      <w:r>
        <w:rPr>
          <w:rFonts w:hint="eastAsia" w:ascii="仿宋" w:hAnsi="仿宋" w:eastAsia="仿宋"/>
          <w:b/>
          <w:color w:val="000000"/>
          <w:sz w:val="32"/>
          <w:szCs w:val="28"/>
          <w:lang w:val="en-US" w:eastAsia="zh-CN"/>
        </w:rPr>
        <w:t xml:space="preserve">            </w:t>
      </w:r>
      <w:r>
        <w:rPr>
          <w:rFonts w:ascii="仿宋" w:hAnsi="仿宋" w:eastAsia="仿宋"/>
          <w:b/>
          <w:color w:val="000000"/>
          <w:sz w:val="32"/>
          <w:szCs w:val="28"/>
        </w:rPr>
        <w:t>住房和城乡建设部</w:t>
      </w:r>
    </w:p>
    <w:p>
      <w:pPr>
        <w:ind w:right="3108" w:rightChars="1295"/>
        <w:jc w:val="distribute"/>
        <w:rPr>
          <w:rFonts w:ascii="仿宋" w:hAnsi="仿宋" w:eastAsia="仿宋"/>
          <w:b/>
          <w:color w:val="000000"/>
          <w:sz w:val="32"/>
          <w:szCs w:val="28"/>
        </w:rPr>
      </w:pPr>
      <w:r>
        <w:rPr>
          <w:rFonts w:hint="eastAsia" w:ascii="仿宋" w:hAnsi="仿宋" w:eastAsia="仿宋"/>
          <w:b/>
          <w:color w:val="000000"/>
          <w:sz w:val="32"/>
          <w:szCs w:val="28"/>
          <w:lang w:val="en-US" w:eastAsia="zh-CN"/>
        </w:rPr>
        <w:t xml:space="preserve">            </w:t>
      </w:r>
      <w:r>
        <w:rPr>
          <w:rFonts w:ascii="仿宋" w:hAnsi="仿宋" w:eastAsia="仿宋"/>
          <w:b/>
          <w:color w:val="000000"/>
          <w:sz w:val="32"/>
          <w:szCs w:val="28"/>
        </w:rPr>
        <w:t>国家工商行政管理</w:t>
      </w:r>
      <w:r>
        <w:rPr>
          <w:rFonts w:hint="eastAsia" w:ascii="仿宋" w:hAnsi="仿宋"/>
          <w:b/>
          <w:color w:val="000000"/>
          <w:sz w:val="32"/>
          <w:szCs w:val="28"/>
          <w:lang w:eastAsia="zh-CN"/>
        </w:rPr>
        <w:t>总</w:t>
      </w:r>
      <w:r>
        <w:rPr>
          <w:rFonts w:ascii="仿宋" w:hAnsi="仿宋" w:eastAsia="仿宋"/>
          <w:b/>
          <w:color w:val="000000"/>
          <w:sz w:val="32"/>
          <w:szCs w:val="28"/>
        </w:rPr>
        <w:t>局</w:t>
      </w:r>
    </w:p>
    <w:p>
      <w:pPr>
        <w:rPr>
          <w:rFonts w:ascii="仿宋" w:hAnsi="仿宋" w:eastAsia="仿宋"/>
          <w:b/>
          <w:color w:val="000000"/>
        </w:rPr>
      </w:pPr>
    </w:p>
    <w:p>
      <w:pPr>
        <w:rPr>
          <w:rFonts w:ascii="仿宋" w:hAnsi="仿宋" w:eastAsia="仿宋"/>
          <w:color w:val="000000"/>
          <w:sz w:val="30"/>
          <w:szCs w:val="30"/>
        </w:rPr>
        <w:sectPr>
          <w:headerReference r:id="rId9" w:type="first"/>
          <w:headerReference r:id="rId8" w:type="default"/>
          <w:footerReference r:id="rId10" w:type="default"/>
          <w:pgSz w:w="11906" w:h="16838"/>
          <w:pgMar w:top="1418" w:right="1555" w:bottom="1418" w:left="1531" w:header="851" w:footer="992" w:gutter="0"/>
          <w:pgNumType w:fmt="decimal" w:start="0"/>
          <w:cols w:space="720" w:num="1"/>
          <w:titlePg/>
          <w:docGrid w:type="lines" w:linePitch="312" w:charSpace="0"/>
        </w:sectPr>
      </w:pPr>
    </w:p>
    <w:p>
      <w:pPr>
        <w:pStyle w:val="4"/>
        <w:keepNext/>
        <w:keepLines/>
        <w:pageBreakBefore w:val="0"/>
        <w:widowControl/>
        <w:kinsoku/>
        <w:wordWrap/>
        <w:overflowPunct/>
        <w:topLinePunct w:val="0"/>
        <w:autoSpaceDE/>
        <w:autoSpaceDN/>
        <w:bidi w:val="0"/>
        <w:adjustRightInd/>
        <w:snapToGrid/>
        <w:spacing w:before="0" w:after="0" w:line="440" w:lineRule="exact"/>
        <w:ind w:left="0" w:leftChars="0" w:right="0" w:rightChars="0" w:firstLine="0" w:firstLineChars="0"/>
        <w:jc w:val="center"/>
        <w:textAlignment w:val="auto"/>
        <w:outlineLvl w:val="0"/>
        <w:rPr>
          <w:rFonts w:hint="eastAsia"/>
          <w:sz w:val="30"/>
          <w:szCs w:val="30"/>
        </w:rPr>
      </w:pPr>
    </w:p>
    <w:p>
      <w:pPr>
        <w:pStyle w:val="4"/>
        <w:keepNext/>
        <w:keepLines/>
        <w:pageBreakBefore w:val="0"/>
        <w:widowControl/>
        <w:kinsoku/>
        <w:wordWrap/>
        <w:overflowPunct/>
        <w:topLinePunct w:val="0"/>
        <w:autoSpaceDE/>
        <w:autoSpaceDN/>
        <w:bidi w:val="0"/>
        <w:adjustRightInd/>
        <w:snapToGrid/>
        <w:spacing w:before="0" w:after="0" w:line="440" w:lineRule="exact"/>
        <w:ind w:left="0" w:leftChars="0" w:right="0" w:rightChars="0" w:firstLine="0" w:firstLineChars="0"/>
        <w:jc w:val="center"/>
        <w:textAlignment w:val="auto"/>
        <w:outlineLvl w:val="0"/>
        <w:rPr>
          <w:rFonts w:hint="eastAsia"/>
          <w:sz w:val="30"/>
          <w:szCs w:val="30"/>
        </w:rPr>
      </w:pPr>
      <w:r>
        <w:rPr>
          <w:rFonts w:hint="eastAsia"/>
          <w:sz w:val="30"/>
          <w:szCs w:val="30"/>
        </w:rPr>
        <w:t>第一部分　协议书</w:t>
      </w:r>
    </w:p>
    <w:p>
      <w:pPr>
        <w:pageBreakBefore w:val="0"/>
        <w:kinsoku/>
        <w:wordWrap/>
        <w:overflowPunct/>
        <w:topLinePunct w:val="0"/>
        <w:autoSpaceDE/>
        <w:autoSpaceDN/>
        <w:bidi w:val="0"/>
        <w:adjustRightInd/>
        <w:snapToGrid/>
        <w:spacing w:line="440" w:lineRule="exact"/>
        <w:textAlignment w:val="auto"/>
      </w:pP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bookmarkStart w:id="20" w:name="7"/>
      <w:r>
        <w:rPr>
          <w:rFonts w:hint="eastAsia" w:ascii="仿宋_GB2312" w:hAnsi="仿宋_GB2312" w:eastAsia="仿宋_GB2312" w:cs="仿宋_GB2312"/>
          <w:color w:val="auto"/>
          <w:kern w:val="2"/>
          <w:sz w:val="28"/>
          <w:szCs w:val="28"/>
          <w:lang w:val="en-US" w:eastAsia="zh-CN" w:bidi="ar-SA"/>
        </w:rPr>
        <w:t xml:space="preserve">委托人（全称）：                         </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 xml:space="preserve">咨询人（全称）：                         </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根据《</w:t>
      </w:r>
      <w:r>
        <w:rPr>
          <w:rFonts w:hint="eastAsia" w:ascii="仿宋_GB2312" w:hAnsi="仿宋_GB2312" w:eastAsia="仿宋_GB2312" w:cs="仿宋_GB2312"/>
          <w:color w:val="auto"/>
          <w:kern w:val="2"/>
          <w:sz w:val="28"/>
          <w:szCs w:val="28"/>
          <w:lang w:val="en-US" w:eastAsia="zh-CN" w:bidi="ar-SA"/>
        </w:rPr>
        <w:fldChar w:fldCharType="begin"/>
      </w:r>
      <w:r>
        <w:rPr>
          <w:rFonts w:hint="eastAsia" w:ascii="仿宋_GB2312" w:hAnsi="仿宋_GB2312" w:eastAsia="仿宋_GB2312" w:cs="仿宋_GB2312"/>
          <w:color w:val="auto"/>
          <w:kern w:val="2"/>
          <w:sz w:val="28"/>
          <w:szCs w:val="28"/>
          <w:lang w:val="en-US" w:eastAsia="zh-CN" w:bidi="ar-SA"/>
        </w:rPr>
        <w:instrText xml:space="preserve"> HYPERLINK "javascript:SLC(21651,0)" </w:instrText>
      </w:r>
      <w:r>
        <w:rPr>
          <w:rFonts w:hint="eastAsia" w:ascii="仿宋_GB2312" w:hAnsi="仿宋_GB2312" w:eastAsia="仿宋_GB2312" w:cs="仿宋_GB2312"/>
          <w:color w:val="auto"/>
          <w:kern w:val="2"/>
          <w:sz w:val="28"/>
          <w:szCs w:val="28"/>
          <w:lang w:val="en-US" w:eastAsia="zh-CN" w:bidi="ar-SA"/>
        </w:rPr>
        <w:fldChar w:fldCharType="separate"/>
      </w:r>
      <w:r>
        <w:rPr>
          <w:rFonts w:hint="eastAsia" w:ascii="仿宋_GB2312" w:hAnsi="仿宋_GB2312" w:eastAsia="仿宋_GB2312" w:cs="仿宋_GB2312"/>
          <w:color w:val="auto"/>
          <w:kern w:val="2"/>
          <w:sz w:val="28"/>
          <w:szCs w:val="28"/>
          <w:lang w:val="en-US" w:eastAsia="zh-CN" w:bidi="ar-SA"/>
        </w:rPr>
        <w:t>中华人民共和国民</w:t>
      </w:r>
      <w:r>
        <w:rPr>
          <w:rFonts w:hint="eastAsia" w:ascii="仿宋_GB2312" w:hAnsi="仿宋_GB2312" w:eastAsia="仿宋_GB2312" w:cs="仿宋_GB2312"/>
          <w:color w:val="auto"/>
          <w:kern w:val="2"/>
          <w:sz w:val="28"/>
          <w:szCs w:val="28"/>
          <w:lang w:val="en-US" w:eastAsia="zh-CN" w:bidi="ar-SA"/>
        </w:rPr>
        <w:fldChar w:fldCharType="end"/>
      </w:r>
      <w:r>
        <w:rPr>
          <w:rFonts w:hint="eastAsia" w:ascii="仿宋_GB2312" w:hAnsi="仿宋_GB2312" w:eastAsia="仿宋_GB2312" w:cs="仿宋_GB2312"/>
          <w:color w:val="auto"/>
          <w:kern w:val="2"/>
          <w:sz w:val="28"/>
          <w:szCs w:val="28"/>
          <w:lang w:val="en-US" w:eastAsia="zh-CN" w:bidi="ar-SA"/>
        </w:rPr>
        <w:t>法典》及其他有关法律、法规，遵循平等、自愿、公平和诚实信用的原则，双方就下述建设工程委托造价咨询与其他服务事项协商一致，订立本合同。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textAlignment w:val="auto"/>
        <w:rPr>
          <w:rFonts w:hint="eastAsia" w:ascii="仿宋_GB2312" w:hAnsi="仿宋_GB2312" w:eastAsia="仿宋_GB2312" w:cs="仿宋_GB2312"/>
          <w:b/>
          <w:bCs/>
          <w:color w:val="auto"/>
          <w:kern w:val="2"/>
          <w:sz w:val="28"/>
          <w:szCs w:val="28"/>
          <w:lang w:val="en-US" w:eastAsia="zh-CN" w:bidi="ar-SA"/>
        </w:rPr>
      </w:pPr>
      <w:bookmarkStart w:id="21" w:name="_Toc422322471"/>
      <w:bookmarkStart w:id="22" w:name="_Toc419045056"/>
      <w:r>
        <w:rPr>
          <w:rFonts w:hint="eastAsia" w:ascii="仿宋_GB2312" w:hAnsi="仿宋_GB2312" w:eastAsia="仿宋_GB2312" w:cs="仿宋_GB2312"/>
          <w:b/>
          <w:bCs/>
          <w:color w:val="auto"/>
          <w:kern w:val="2"/>
          <w:sz w:val="28"/>
          <w:szCs w:val="28"/>
          <w:lang w:val="en-US" w:eastAsia="zh-CN" w:bidi="ar-SA"/>
        </w:rPr>
        <w:t>1.项目概况</w:t>
      </w:r>
      <w:bookmarkEnd w:id="21"/>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textAlignment w:val="auto"/>
        <w:rPr>
          <w:rFonts w:hint="eastAsia"/>
        </w:rPr>
      </w:pPr>
      <w:r>
        <w:rPr>
          <w:rFonts w:hint="eastAsia" w:ascii="仿宋_GB2312" w:hAnsi="仿宋_GB2312" w:eastAsia="仿宋_GB2312" w:cs="仿宋_GB2312"/>
          <w:color w:val="auto"/>
          <w:kern w:val="2"/>
          <w:sz w:val="28"/>
          <w:szCs w:val="28"/>
          <w:lang w:val="en-US" w:eastAsia="zh-CN" w:bidi="ar-SA"/>
        </w:rPr>
        <w:t>1.1项目名称：</w:t>
      </w:r>
      <w:r>
        <w:rPr>
          <w:rFonts w:hint="eastAsia" w:ascii="仿宋_GB2312" w:hAnsi="仿宋_GB2312" w:eastAsia="仿宋_GB2312" w:cs="仿宋_GB2312"/>
          <w:sz w:val="28"/>
          <w:szCs w:val="28"/>
          <w:u w:val="single"/>
          <w:lang w:val="en-US" w:eastAsia="zh-CN"/>
        </w:rPr>
        <w:t>XXXXXXXXXXXXX竣工结算审计（内审）服务采购</w:t>
      </w:r>
      <w:r>
        <w:rPr>
          <w:rFonts w:hint="eastAsia"/>
          <w:u w:val="singl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1.2项目概述：</w:t>
      </w:r>
      <w:bookmarkEnd w:id="22"/>
      <w:r>
        <w:rPr>
          <w:rFonts w:hint="eastAsia" w:ascii="仿宋_GB2312" w:hAnsi="仿宋_GB2312" w:eastAsia="仿宋_GB2312" w:cs="仿宋_GB2312"/>
          <w:color w:val="auto"/>
          <w:kern w:val="2"/>
          <w:sz w:val="28"/>
          <w:szCs w:val="28"/>
          <w:lang w:val="en-US" w:eastAsia="zh-CN" w:bidi="ar-SA"/>
        </w:rPr>
        <w:t>XXXXXXXXXXXXXXXXXXX</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工程内容具体包括道路、桥涵、路基防护、交通工程、管线和排水、照明和其他附属工程。</w:t>
      </w:r>
    </w:p>
    <w:bookmarkEnd w:id="20"/>
    <w:p>
      <w:pPr>
        <w:pStyle w:val="18"/>
        <w:keepNext w:val="0"/>
        <w:keepLines w:val="0"/>
        <w:pageBreakBefore w:val="0"/>
        <w:widowControl w:val="0"/>
        <w:numPr>
          <w:ilvl w:val="0"/>
          <w:numId w:val="0"/>
        </w:numPr>
        <w:kinsoku/>
        <w:wordWrap/>
        <w:overflowPunct/>
        <w:topLinePunct w:val="0"/>
        <w:autoSpaceDE/>
        <w:autoSpaceDN/>
        <w:bidi w:val="0"/>
        <w:adjustRightInd/>
        <w:snapToGrid/>
        <w:spacing w:before="0" w:after="0" w:line="440" w:lineRule="exact"/>
        <w:ind w:leftChars="200"/>
        <w:jc w:val="left"/>
        <w:textAlignment w:val="auto"/>
        <w:rPr>
          <w:rFonts w:hint="eastAsia" w:ascii="仿宋_GB2312" w:hAnsi="仿宋_GB2312" w:eastAsia="仿宋_GB2312" w:cs="仿宋_GB2312"/>
          <w:b/>
          <w:bCs/>
          <w:color w:val="auto"/>
          <w:kern w:val="2"/>
          <w:sz w:val="28"/>
          <w:szCs w:val="28"/>
          <w:lang w:val="en-US" w:eastAsia="zh-CN" w:bidi="ar-SA"/>
        </w:rPr>
      </w:pPr>
      <w:bookmarkStart w:id="23" w:name="_Toc422322472"/>
      <w:bookmarkStart w:id="24" w:name="_Toc419045059"/>
      <w:r>
        <w:rPr>
          <w:rFonts w:hint="eastAsia" w:ascii="仿宋_GB2312" w:hAnsi="仿宋_GB2312" w:eastAsia="仿宋_GB2312" w:cs="仿宋_GB2312"/>
          <w:b/>
          <w:bCs/>
          <w:color w:val="auto"/>
          <w:kern w:val="2"/>
          <w:sz w:val="28"/>
          <w:szCs w:val="28"/>
          <w:lang w:val="en-US" w:eastAsia="zh-CN" w:bidi="ar-SA"/>
        </w:rPr>
        <w:t>2.服务范围及工作内容</w:t>
      </w:r>
      <w:bookmarkEnd w:id="23"/>
      <w:bookmarkEnd w:id="24"/>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2.1服务要求</w:t>
      </w:r>
      <w:bookmarkStart w:id="25" w:name="_Toc419045060"/>
      <w:bookmarkStart w:id="26" w:name="_Toc422322473"/>
      <w:bookmarkStart w:id="27" w:name="9"/>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textAlignment w:val="auto"/>
        <w:rPr>
          <w:rFonts w:hint="eastAsia"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lang w:val="en-US" w:eastAsia="zh-CN"/>
        </w:rPr>
        <w:t>2.1.1在约定时间内完成审计复核任务，不得将受托审计复核项目分包、转让、转包。</w:t>
      </w:r>
    </w:p>
    <w:p>
      <w:pPr>
        <w:pStyle w:val="3"/>
        <w:keepNext w:val="0"/>
        <w:keepLines w:val="0"/>
        <w:pageBreakBefore w:val="0"/>
        <w:widowControl w:val="0"/>
        <w:kinsoku/>
        <w:wordWrap/>
        <w:overflowPunct/>
        <w:topLinePunct w:val="0"/>
        <w:autoSpaceDE/>
        <w:autoSpaceDN/>
        <w:bidi w:val="0"/>
        <w:adjustRightInd/>
        <w:snapToGrid/>
        <w:spacing w:after="0" w:line="440" w:lineRule="exact"/>
        <w:ind w:firstLine="560" w:firstLineChars="200"/>
        <w:textAlignment w:val="auto"/>
        <w:rPr>
          <w:rFonts w:hint="eastAsia"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lang w:val="en-US" w:eastAsia="zh-CN"/>
        </w:rPr>
        <w:t>2.1.2在接收到采购人移交的资料后，必须在规定时间内完成对资料完整性的确认，同时，要列明应补充完善的资料。若超过期限继续要求提供实质性资料的，将取消此项目的委托。</w:t>
      </w:r>
    </w:p>
    <w:p>
      <w:pPr>
        <w:pStyle w:val="3"/>
        <w:keepNext w:val="0"/>
        <w:keepLines w:val="0"/>
        <w:pageBreakBefore w:val="0"/>
        <w:widowControl w:val="0"/>
        <w:kinsoku/>
        <w:wordWrap/>
        <w:overflowPunct/>
        <w:topLinePunct w:val="0"/>
        <w:autoSpaceDE/>
        <w:autoSpaceDN/>
        <w:bidi w:val="0"/>
        <w:adjustRightInd/>
        <w:snapToGrid/>
        <w:spacing w:after="0" w:line="440" w:lineRule="exact"/>
        <w:ind w:firstLine="560" w:firstLineChars="200"/>
        <w:textAlignment w:val="auto"/>
        <w:rPr>
          <w:rFonts w:hint="eastAsia"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lang w:val="en-US" w:eastAsia="zh-CN"/>
        </w:rPr>
        <w:t>2.13严格执行回避制度，不得同时接受具有利益冲突的双方或多方委托服务；不得对外提供工程造价咨询服务过程中获知的采购人的商业秘密和业务资料。一经发现，终止服务合同。</w:t>
      </w:r>
    </w:p>
    <w:p>
      <w:pPr>
        <w:pStyle w:val="3"/>
        <w:keepNext w:val="0"/>
        <w:keepLines w:val="0"/>
        <w:pageBreakBefore w:val="0"/>
        <w:widowControl w:val="0"/>
        <w:kinsoku/>
        <w:wordWrap/>
        <w:overflowPunct/>
        <w:topLinePunct w:val="0"/>
        <w:autoSpaceDE/>
        <w:autoSpaceDN/>
        <w:bidi w:val="0"/>
        <w:adjustRightInd/>
        <w:snapToGrid/>
        <w:spacing w:after="0" w:line="440" w:lineRule="exact"/>
        <w:ind w:firstLine="560" w:firstLineChars="200"/>
        <w:textAlignment w:val="auto"/>
        <w:rPr>
          <w:rFonts w:hint="eastAsia"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lang w:val="en-US" w:eastAsia="zh-CN"/>
        </w:rPr>
        <w:t>2.1.4向采购人提交符合要求的审计报告和相应的取证记录、审计复核后结算书的纸质文档、电子文档、计算式等证明材料和成果文件。对审计复核结果负责，因审计复核质量、违规操作等原因致使采购人遭受损失，应承担一切经济和法律责任。</w:t>
      </w:r>
    </w:p>
    <w:p>
      <w:pPr>
        <w:pStyle w:val="3"/>
        <w:keepNext w:val="0"/>
        <w:keepLines w:val="0"/>
        <w:pageBreakBefore w:val="0"/>
        <w:widowControl w:val="0"/>
        <w:kinsoku/>
        <w:wordWrap/>
        <w:overflowPunct/>
        <w:topLinePunct w:val="0"/>
        <w:autoSpaceDE/>
        <w:autoSpaceDN/>
        <w:bidi w:val="0"/>
        <w:adjustRightInd/>
        <w:snapToGrid/>
        <w:spacing w:after="0" w:line="440" w:lineRule="exact"/>
        <w:ind w:firstLine="560" w:firstLineChars="200"/>
        <w:textAlignment w:val="auto"/>
        <w:rPr>
          <w:rFonts w:hint="eastAsia"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lang w:val="en-US" w:eastAsia="zh-CN"/>
        </w:rPr>
        <w:t>2.1.5积极配合采购人对审计复核结果进行的复核工作。</w:t>
      </w:r>
    </w:p>
    <w:p>
      <w:pPr>
        <w:pStyle w:val="3"/>
        <w:keepNext w:val="0"/>
        <w:keepLines w:val="0"/>
        <w:pageBreakBefore w:val="0"/>
        <w:widowControl w:val="0"/>
        <w:kinsoku/>
        <w:wordWrap/>
        <w:overflowPunct/>
        <w:topLinePunct w:val="0"/>
        <w:autoSpaceDE/>
        <w:autoSpaceDN/>
        <w:bidi w:val="0"/>
        <w:adjustRightInd/>
        <w:snapToGrid/>
        <w:spacing w:after="0" w:line="440" w:lineRule="exact"/>
        <w:ind w:firstLine="560" w:firstLineChars="200"/>
        <w:textAlignment w:val="auto"/>
        <w:rPr>
          <w:rFonts w:hint="eastAsia"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kern w:val="2"/>
          <w:sz w:val="28"/>
          <w:szCs w:val="28"/>
          <w:highlight w:val="none"/>
          <w:lang w:val="en-US" w:eastAsia="zh-CN"/>
        </w:rPr>
        <w:t>2.2人员配置要求</w:t>
      </w:r>
    </w:p>
    <w:p>
      <w:pPr>
        <w:pStyle w:val="3"/>
        <w:keepNext w:val="0"/>
        <w:keepLines w:val="0"/>
        <w:pageBreakBefore w:val="0"/>
        <w:widowControl w:val="0"/>
        <w:kinsoku/>
        <w:wordWrap/>
        <w:overflowPunct/>
        <w:topLinePunct w:val="0"/>
        <w:autoSpaceDE/>
        <w:autoSpaceDN/>
        <w:bidi w:val="0"/>
        <w:adjustRightInd/>
        <w:snapToGrid/>
        <w:spacing w:after="0" w:line="440" w:lineRule="exact"/>
        <w:ind w:firstLine="560" w:firstLineChars="200"/>
        <w:textAlignment w:val="auto"/>
        <w:rPr>
          <w:rFonts w:hint="eastAsia"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lang w:val="en-US" w:eastAsia="zh-CN"/>
        </w:rPr>
        <w:t>2.2.1项目负责人：1名，须具有一级造价工程师，中级以上职称；</w:t>
      </w:r>
    </w:p>
    <w:p>
      <w:pPr>
        <w:pStyle w:val="3"/>
        <w:keepNext w:val="0"/>
        <w:keepLines w:val="0"/>
        <w:pageBreakBefore w:val="0"/>
        <w:widowControl w:val="0"/>
        <w:kinsoku/>
        <w:wordWrap/>
        <w:overflowPunct/>
        <w:topLinePunct w:val="0"/>
        <w:autoSpaceDE/>
        <w:autoSpaceDN/>
        <w:bidi w:val="0"/>
        <w:adjustRightInd/>
        <w:snapToGrid/>
        <w:spacing w:after="0" w:line="440" w:lineRule="exact"/>
        <w:ind w:firstLine="560" w:firstLineChars="200"/>
        <w:textAlignment w:val="auto"/>
        <w:rPr>
          <w:rFonts w:hint="eastAsia"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lang w:val="en-US" w:eastAsia="zh-CN"/>
        </w:rPr>
        <w:t>2.2.2须配备土建负责人（或安装负责人）等技术力量，确保服务质量。</w:t>
      </w:r>
    </w:p>
    <w:p>
      <w:pPr>
        <w:pStyle w:val="3"/>
        <w:keepNext w:val="0"/>
        <w:keepLines w:val="0"/>
        <w:pageBreakBefore w:val="0"/>
        <w:widowControl w:val="0"/>
        <w:kinsoku/>
        <w:wordWrap/>
        <w:overflowPunct/>
        <w:topLinePunct w:val="0"/>
        <w:autoSpaceDE/>
        <w:autoSpaceDN/>
        <w:bidi w:val="0"/>
        <w:adjustRightInd/>
        <w:snapToGrid/>
        <w:spacing w:after="0" w:line="440" w:lineRule="exact"/>
        <w:ind w:firstLine="560" w:firstLineChars="200"/>
        <w:textAlignment w:val="auto"/>
        <w:rPr>
          <w:rFonts w:hint="eastAsia"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lang w:val="en-US" w:eastAsia="zh-CN"/>
        </w:rPr>
        <w:t>2.2.3项目人员须具有造价员证（审核），如有二级造价工程师，则配备二级造价工程师。</w:t>
      </w:r>
    </w:p>
    <w:bookmarkEnd w:id="25"/>
    <w:bookmarkEnd w:id="26"/>
    <w:p>
      <w:pPr>
        <w:pStyle w:val="18"/>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562" w:firstLineChars="200"/>
        <w:jc w:val="left"/>
        <w:textAlignment w:val="auto"/>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3.商务要求</w:t>
      </w:r>
    </w:p>
    <w:bookmarkEnd w:id="27"/>
    <w:p>
      <w:pPr>
        <w:pStyle w:val="18"/>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560" w:firstLineChars="200"/>
        <w:jc w:val="left"/>
        <w:textAlignment w:val="auto"/>
        <w:rPr>
          <w:rFonts w:hint="eastAsia" w:ascii="仿宋_GB2312" w:hAnsi="仿宋_GB2312" w:eastAsia="仿宋_GB2312" w:cs="仿宋_GB2312"/>
          <w:b w:val="0"/>
          <w:bCs w:val="0"/>
          <w:color w:val="000000"/>
          <w:kern w:val="2"/>
          <w:sz w:val="28"/>
          <w:szCs w:val="28"/>
          <w:lang w:val="en-US" w:eastAsia="zh-CN" w:bidi="ar-SA"/>
        </w:rPr>
      </w:pPr>
      <w:bookmarkStart w:id="28" w:name="_Toc422322474"/>
      <w:bookmarkStart w:id="29" w:name="_Toc419045061"/>
      <w:r>
        <w:rPr>
          <w:rFonts w:hint="eastAsia" w:ascii="仿宋_GB2312" w:hAnsi="仿宋_GB2312" w:eastAsia="仿宋_GB2312" w:cs="仿宋_GB2312"/>
          <w:b w:val="0"/>
          <w:bCs w:val="0"/>
          <w:color w:val="000000"/>
          <w:kern w:val="2"/>
          <w:sz w:val="28"/>
          <w:szCs w:val="28"/>
          <w:lang w:val="en-US" w:eastAsia="zh-CN" w:bidi="ar-SA"/>
        </w:rPr>
        <w:t>3.1服务期限：签订服务合同起，40日历天内完成项目竣工结算审核；特殊情况除外，以最终合同约定为准。</w:t>
      </w:r>
    </w:p>
    <w:p>
      <w:pPr>
        <w:pStyle w:val="18"/>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560" w:firstLineChars="200"/>
        <w:jc w:val="left"/>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3.2服务地点：采购人指定地点。</w:t>
      </w:r>
    </w:p>
    <w:p>
      <w:pPr>
        <w:pStyle w:val="18"/>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560" w:firstLineChars="200"/>
        <w:jc w:val="left"/>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3.3付款方式：在审计完成后30个工作日内支付服务费。</w:t>
      </w:r>
    </w:p>
    <w:p>
      <w:pPr>
        <w:pStyle w:val="18"/>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560" w:firstLineChars="200"/>
        <w:jc w:val="left"/>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3.4验收标准：符合国家（或行业）相关标准并通过采购人组织的验收考核</w:t>
      </w:r>
    </w:p>
    <w:p>
      <w:pPr>
        <w:pStyle w:val="18"/>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560" w:firstLineChars="200"/>
        <w:jc w:val="left"/>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3.5考核要求：成交供应商在出具成果文件后，在接受复核审计时（正式审计），误差率有以下规定：</w:t>
      </w:r>
    </w:p>
    <w:p>
      <w:pPr>
        <w:pStyle w:val="18"/>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560" w:firstLineChars="200"/>
        <w:jc w:val="left"/>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3.5.1若审计误差超过 5 %未超过10%（含5%），则采购人有权扣除成交供应商被复核项目审计服务费的10%作为补偿金；</w:t>
      </w:r>
    </w:p>
    <w:p>
      <w:pPr>
        <w:pStyle w:val="18"/>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560" w:firstLineChars="200"/>
        <w:jc w:val="left"/>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3.5.2若审计误差超过 10 %未超过15%（含10%），则采购人有权扣除成交供应商被复核项目审计服务费的15%作为补偿金；</w:t>
      </w:r>
    </w:p>
    <w:p>
      <w:pPr>
        <w:pStyle w:val="18"/>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560" w:firstLineChars="200"/>
        <w:jc w:val="left"/>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3.5.3若审计误差超过 15 %未超过20%（含15%），则采购人有权扣除成交供应商被复核项目审计服务费的30%作为补偿金；</w:t>
      </w:r>
    </w:p>
    <w:p>
      <w:pPr>
        <w:pStyle w:val="18"/>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560" w:firstLineChars="200"/>
        <w:jc w:val="left"/>
        <w:textAlignment w:val="auto"/>
        <w:rPr>
          <w:rFonts w:hint="default"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3.5.4若审计误差超过 20 %（含20%），则采购人有权扣除成交供应商被复核项目审计服务费的100%作为补偿金。</w:t>
      </w:r>
    </w:p>
    <w:p>
      <w:pPr>
        <w:pStyle w:val="18"/>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562" w:firstLineChars="200"/>
        <w:jc w:val="left"/>
        <w:textAlignment w:val="auto"/>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4.验收标准</w:t>
      </w:r>
      <w:bookmarkEnd w:id="28"/>
      <w:bookmarkEnd w:id="29"/>
    </w:p>
    <w:p>
      <w:pPr>
        <w:pStyle w:val="18"/>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560" w:firstLineChars="200"/>
        <w:jc w:val="left"/>
        <w:textAlignment w:val="auto"/>
        <w:rPr>
          <w:rFonts w:hint="eastAsia" w:ascii="仿宋_GB2312" w:hAnsi="仿宋_GB2312" w:eastAsia="仿宋_GB2312" w:cs="仿宋_GB2312"/>
          <w:b w:val="0"/>
          <w:bCs w:val="0"/>
          <w:color w:val="000000"/>
          <w:kern w:val="2"/>
          <w:sz w:val="28"/>
          <w:szCs w:val="28"/>
          <w:lang w:val="en-US" w:eastAsia="zh-CN" w:bidi="ar-SA"/>
        </w:rPr>
      </w:pPr>
      <w:bookmarkStart w:id="30" w:name="_Toc422322475"/>
      <w:bookmarkStart w:id="31" w:name="_Toc419045062"/>
      <w:bookmarkStart w:id="32" w:name="12"/>
      <w:r>
        <w:rPr>
          <w:rFonts w:hint="eastAsia" w:ascii="仿宋_GB2312" w:hAnsi="仿宋_GB2312" w:eastAsia="仿宋_GB2312" w:cs="仿宋_GB2312"/>
          <w:b w:val="0"/>
          <w:bCs w:val="0"/>
          <w:color w:val="000000"/>
          <w:kern w:val="2"/>
          <w:sz w:val="28"/>
          <w:szCs w:val="28"/>
          <w:lang w:val="en-US" w:eastAsia="zh-CN" w:bidi="ar-SA"/>
        </w:rPr>
        <w:t>符合国家（或行业）相关标准并通过采购人组织的验收考核。</w:t>
      </w:r>
    </w:p>
    <w:p>
      <w:pPr>
        <w:pStyle w:val="18"/>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562" w:firstLineChars="200"/>
        <w:jc w:val="left"/>
        <w:textAlignment w:val="auto"/>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5.酬金或计取方式</w:t>
      </w:r>
      <w:bookmarkEnd w:id="30"/>
      <w:bookmarkEnd w:id="31"/>
      <w:r>
        <w:rPr>
          <w:rFonts w:hint="eastAsia" w:ascii="仿宋_GB2312" w:hAnsi="仿宋_GB2312" w:eastAsia="仿宋_GB2312" w:cs="仿宋_GB2312"/>
          <w:b/>
          <w:bCs/>
          <w:color w:val="auto"/>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5.1暂估酬金：          （大写）（¥：               元）。</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5.2计取方式： 按川价发〔2008〕141号文件第9项（审核竣工结算）下浮</w:t>
      </w:r>
      <w:r>
        <w:rPr>
          <w:rFonts w:hint="eastAsia" w:ascii="仿宋_GB2312" w:hAnsi="仿宋_GB2312" w:eastAsia="仿宋_GB2312" w:cs="仿宋_GB2312"/>
          <w:color w:val="auto"/>
          <w:kern w:val="2"/>
          <w:sz w:val="28"/>
          <w:szCs w:val="28"/>
          <w:u w:val="single"/>
          <w:lang w:val="en-US" w:eastAsia="zh-CN" w:bidi="ar-SA"/>
        </w:rPr>
        <w:t xml:space="preserve">   </w:t>
      </w:r>
      <w:r>
        <w:rPr>
          <w:rFonts w:hint="eastAsia" w:ascii="仿宋_GB2312" w:hAnsi="仿宋_GB2312" w:eastAsia="仿宋_GB2312" w:cs="仿宋_GB2312"/>
          <w:color w:val="auto"/>
          <w:kern w:val="2"/>
          <w:sz w:val="28"/>
          <w:szCs w:val="28"/>
          <w:lang w:val="en-US" w:eastAsia="zh-CN" w:bidi="ar-SA"/>
        </w:rPr>
        <w:t>% 。最终金额以咨询单位审定金额作为收费基数进行结算。</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5.2.1基本审计费下浮；</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5.2.2不计取效益审计费；</w:t>
      </w:r>
    </w:p>
    <w:p>
      <w:pPr>
        <w:pStyle w:val="55"/>
        <w:keepNext w:val="0"/>
        <w:keepLines w:val="0"/>
        <w:pageBreakBefore w:val="0"/>
        <w:widowControl w:val="0"/>
        <w:kinsoku/>
        <w:wordWrap/>
        <w:overflowPunct/>
        <w:topLinePunct w:val="0"/>
        <w:autoSpaceDE/>
        <w:autoSpaceDN/>
        <w:bidi w:val="0"/>
        <w:adjustRightInd/>
        <w:snapToGrid/>
        <w:spacing w:line="440" w:lineRule="exact"/>
        <w:ind w:left="557" w:leftChars="232" w:firstLine="0" w:firstLineChars="0"/>
        <w:jc w:val="left"/>
        <w:textAlignment w:val="auto"/>
        <w:rPr>
          <w:rFonts w:hint="eastAsia" w:ascii="仿宋_GB2312" w:hAnsi="仿宋_GB2312" w:eastAsia="仿宋_GB2312" w:cs="仿宋_GB2312"/>
          <w:b/>
          <w:bCs/>
          <w:color w:val="auto"/>
          <w:kern w:val="2"/>
          <w:sz w:val="28"/>
          <w:szCs w:val="28"/>
          <w:lang w:val="en-US" w:eastAsia="zh-CN" w:bidi="ar-SA"/>
        </w:rPr>
      </w:pPr>
      <w:bookmarkStart w:id="33" w:name="_Toc419045058"/>
      <w:bookmarkStart w:id="34" w:name="_Toc422322476"/>
      <w:r>
        <w:rPr>
          <w:rFonts w:hint="eastAsia" w:ascii="仿宋_GB2312" w:hAnsi="仿宋_GB2312" w:eastAsia="仿宋_GB2312" w:cs="仿宋_GB2312"/>
          <w:b/>
          <w:bCs/>
          <w:color w:val="auto"/>
          <w:kern w:val="2"/>
          <w:sz w:val="28"/>
          <w:szCs w:val="28"/>
          <w:lang w:val="en-US" w:eastAsia="zh-CN" w:bidi="ar-SA"/>
        </w:rPr>
        <w:t>6.合同文件的构成</w:t>
      </w:r>
      <w:bookmarkEnd w:id="33"/>
      <w:bookmarkEnd w:id="34"/>
    </w:p>
    <w:p>
      <w:pPr>
        <w:pStyle w:val="55"/>
        <w:keepNext w:val="0"/>
        <w:keepLines w:val="0"/>
        <w:pageBreakBefore w:val="0"/>
        <w:widowControl w:val="0"/>
        <w:kinsoku/>
        <w:wordWrap/>
        <w:overflowPunct/>
        <w:topLinePunct w:val="0"/>
        <w:autoSpaceDE/>
        <w:autoSpaceDN/>
        <w:bidi w:val="0"/>
        <w:adjustRightInd/>
        <w:snapToGrid/>
        <w:spacing w:line="440" w:lineRule="exact"/>
        <w:ind w:left="557" w:leftChars="232" w:firstLine="0" w:firstLineChars="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本协议书与下列文件一起构成合同文件:</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6.1成交通知书或委托书（如果有）；</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6.2投标函及投标函附录或造价咨询服务建议书；</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6.3专用条件及附录；</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6.4通用条件；</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6.5其他合同文件。</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上述各项合同文件包括合同当事人就该项合同文件所做出的补充和修改，属于同一类内容的文件，应以最新签署的为准。</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在合同订立及履行过程中形成的与合同有关的文件（包括补充协议）均构成合同文件的组成部分。</w:t>
      </w:r>
    </w:p>
    <w:p>
      <w:pPr>
        <w:pStyle w:val="18"/>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562" w:firstLineChars="200"/>
        <w:jc w:val="left"/>
        <w:textAlignment w:val="auto"/>
        <w:rPr>
          <w:rFonts w:hint="eastAsia" w:ascii="仿宋_GB2312" w:hAnsi="仿宋_GB2312" w:eastAsia="仿宋_GB2312" w:cs="仿宋_GB2312"/>
          <w:b/>
          <w:bCs/>
          <w:color w:val="auto"/>
          <w:kern w:val="2"/>
          <w:sz w:val="28"/>
          <w:szCs w:val="28"/>
          <w:lang w:val="en-US" w:eastAsia="zh-CN" w:bidi="ar-SA"/>
        </w:rPr>
      </w:pPr>
      <w:bookmarkStart w:id="35" w:name="_Toc419045057"/>
      <w:bookmarkStart w:id="36" w:name="_Toc422322477"/>
      <w:bookmarkStart w:id="37" w:name="8"/>
      <w:r>
        <w:rPr>
          <w:rFonts w:hint="eastAsia" w:ascii="仿宋_GB2312" w:hAnsi="仿宋_GB2312" w:eastAsia="仿宋_GB2312" w:cs="仿宋_GB2312"/>
          <w:b/>
          <w:bCs/>
          <w:color w:val="auto"/>
          <w:kern w:val="2"/>
          <w:sz w:val="28"/>
          <w:szCs w:val="28"/>
          <w:lang w:val="en-US" w:eastAsia="zh-CN" w:bidi="ar-SA"/>
        </w:rPr>
        <w:t>7.词语</w:t>
      </w:r>
      <w:bookmarkEnd w:id="35"/>
      <w:r>
        <w:rPr>
          <w:rFonts w:hint="eastAsia" w:ascii="仿宋_GB2312" w:hAnsi="仿宋_GB2312" w:eastAsia="仿宋_GB2312" w:cs="仿宋_GB2312"/>
          <w:b/>
          <w:bCs/>
          <w:color w:val="auto"/>
          <w:kern w:val="2"/>
          <w:sz w:val="28"/>
          <w:szCs w:val="28"/>
          <w:lang w:val="en-US" w:eastAsia="zh-CN" w:bidi="ar-SA"/>
        </w:rPr>
        <w:t>定义</w:t>
      </w:r>
      <w:bookmarkEnd w:id="36"/>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协议书中相关词语的含义与通用条件中的定义与解释相同。</w:t>
      </w:r>
      <w:bookmarkEnd w:id="37"/>
    </w:p>
    <w:p>
      <w:pPr>
        <w:pStyle w:val="18"/>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562" w:firstLineChars="200"/>
        <w:jc w:val="left"/>
        <w:textAlignment w:val="auto"/>
        <w:rPr>
          <w:rFonts w:hint="eastAsia" w:ascii="仿宋_GB2312" w:hAnsi="仿宋_GB2312" w:eastAsia="仿宋_GB2312" w:cs="仿宋_GB2312"/>
          <w:b/>
          <w:bCs/>
          <w:color w:val="auto"/>
          <w:kern w:val="2"/>
          <w:sz w:val="28"/>
          <w:szCs w:val="28"/>
          <w:lang w:val="en-US" w:eastAsia="zh-CN" w:bidi="ar-SA"/>
        </w:rPr>
      </w:pPr>
      <w:bookmarkStart w:id="38" w:name="_Toc422322478"/>
      <w:bookmarkStart w:id="39" w:name="_Toc419045063"/>
      <w:r>
        <w:rPr>
          <w:rFonts w:hint="eastAsia" w:ascii="仿宋_GB2312" w:hAnsi="仿宋_GB2312" w:eastAsia="仿宋_GB2312" w:cs="仿宋_GB2312"/>
          <w:b/>
          <w:bCs/>
          <w:color w:val="auto"/>
          <w:kern w:val="2"/>
          <w:sz w:val="28"/>
          <w:szCs w:val="28"/>
          <w:lang w:val="en-US" w:eastAsia="zh-CN" w:bidi="ar-SA"/>
        </w:rPr>
        <w:t>8.合同订立</w:t>
      </w:r>
      <w:bookmarkEnd w:id="38"/>
      <w:bookmarkEnd w:id="39"/>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8.1订立时间：</w:t>
      </w:r>
      <w:r>
        <w:rPr>
          <w:rFonts w:hint="eastAsia" w:ascii="仿宋_GB2312" w:hAnsi="仿宋_GB2312" w:eastAsia="仿宋_GB2312" w:cs="仿宋_GB2312"/>
          <w:color w:val="auto"/>
          <w:kern w:val="2"/>
          <w:sz w:val="28"/>
          <w:szCs w:val="28"/>
          <w:u w:val="single"/>
          <w:lang w:val="en-US" w:eastAsia="zh-CN" w:bidi="ar-SA"/>
        </w:rPr>
        <w:t xml:space="preserve">    </w:t>
      </w:r>
      <w:r>
        <w:rPr>
          <w:rFonts w:hint="eastAsia" w:ascii="仿宋_GB2312" w:hAnsi="仿宋_GB2312" w:eastAsia="仿宋_GB2312" w:cs="仿宋_GB2312"/>
          <w:color w:val="auto"/>
          <w:kern w:val="2"/>
          <w:sz w:val="28"/>
          <w:szCs w:val="28"/>
          <w:lang w:val="en-US" w:eastAsia="zh-CN" w:bidi="ar-SA"/>
        </w:rPr>
        <w:t>年</w:t>
      </w:r>
      <w:r>
        <w:rPr>
          <w:rFonts w:hint="eastAsia" w:ascii="仿宋_GB2312" w:hAnsi="仿宋_GB2312" w:eastAsia="仿宋_GB2312" w:cs="仿宋_GB2312"/>
          <w:color w:val="auto"/>
          <w:kern w:val="2"/>
          <w:sz w:val="28"/>
          <w:szCs w:val="28"/>
          <w:u w:val="single"/>
          <w:lang w:val="en-US" w:eastAsia="zh-CN" w:bidi="ar-SA"/>
        </w:rPr>
        <w:t xml:space="preserve">   </w:t>
      </w:r>
      <w:r>
        <w:rPr>
          <w:rFonts w:hint="eastAsia" w:ascii="仿宋_GB2312" w:hAnsi="仿宋_GB2312" w:eastAsia="仿宋_GB2312" w:cs="仿宋_GB2312"/>
          <w:color w:val="auto"/>
          <w:kern w:val="2"/>
          <w:sz w:val="28"/>
          <w:szCs w:val="28"/>
          <w:lang w:val="en-US" w:eastAsia="zh-CN" w:bidi="ar-SA"/>
        </w:rPr>
        <w:t>月</w:t>
      </w:r>
      <w:r>
        <w:rPr>
          <w:rFonts w:hint="eastAsia" w:ascii="仿宋_GB2312" w:hAnsi="仿宋_GB2312" w:eastAsia="仿宋_GB2312" w:cs="仿宋_GB2312"/>
          <w:color w:val="auto"/>
          <w:kern w:val="2"/>
          <w:sz w:val="28"/>
          <w:szCs w:val="28"/>
          <w:u w:val="single"/>
          <w:lang w:val="en-US" w:eastAsia="zh-CN" w:bidi="ar-SA"/>
        </w:rPr>
        <w:t xml:space="preserve">   </w:t>
      </w:r>
      <w:r>
        <w:rPr>
          <w:rFonts w:hint="eastAsia" w:ascii="仿宋_GB2312" w:hAnsi="仿宋_GB2312" w:eastAsia="仿宋_GB2312" w:cs="仿宋_GB2312"/>
          <w:color w:val="auto"/>
          <w:kern w:val="2"/>
          <w:sz w:val="28"/>
          <w:szCs w:val="28"/>
          <w:lang w:val="en-US" w:eastAsia="zh-CN" w:bidi="ar-SA"/>
        </w:rPr>
        <w:t>日。</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8.2订立地点：</w:t>
      </w:r>
      <w:r>
        <w:rPr>
          <w:rFonts w:hint="eastAsia" w:ascii="仿宋_GB2312" w:hAnsi="仿宋_GB2312" w:eastAsia="仿宋_GB2312" w:cs="仿宋_GB2312"/>
          <w:color w:val="auto"/>
          <w:kern w:val="2"/>
          <w:sz w:val="28"/>
          <w:szCs w:val="28"/>
          <w:u w:val="single"/>
          <w:lang w:val="en-US" w:eastAsia="zh-CN" w:bidi="ar-SA"/>
        </w:rPr>
        <w:t xml:space="preserve">                                 </w:t>
      </w:r>
      <w:r>
        <w:rPr>
          <w:rFonts w:hint="eastAsia" w:ascii="仿宋_GB2312" w:hAnsi="仿宋_GB2312" w:eastAsia="仿宋_GB2312" w:cs="仿宋_GB2312"/>
          <w:color w:val="auto"/>
          <w:kern w:val="2"/>
          <w:sz w:val="28"/>
          <w:szCs w:val="28"/>
          <w:lang w:val="en-US" w:eastAsia="zh-CN" w:bidi="ar-SA"/>
        </w:rPr>
        <w:t>。</w:t>
      </w:r>
    </w:p>
    <w:p>
      <w:pPr>
        <w:pStyle w:val="18"/>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562" w:firstLineChars="200"/>
        <w:jc w:val="left"/>
        <w:textAlignment w:val="auto"/>
        <w:rPr>
          <w:rFonts w:hint="eastAsia" w:ascii="仿宋_GB2312" w:hAnsi="仿宋_GB2312" w:eastAsia="仿宋_GB2312" w:cs="仿宋_GB2312"/>
          <w:b/>
          <w:bCs/>
          <w:color w:val="auto"/>
          <w:kern w:val="2"/>
          <w:sz w:val="28"/>
          <w:szCs w:val="28"/>
          <w:lang w:val="en-US" w:eastAsia="zh-CN" w:bidi="ar-SA"/>
        </w:rPr>
      </w:pPr>
      <w:bookmarkStart w:id="40" w:name="_Toc422322479"/>
      <w:bookmarkStart w:id="41" w:name="_Toc419045064"/>
      <w:r>
        <w:rPr>
          <w:rFonts w:hint="eastAsia" w:ascii="仿宋_GB2312" w:hAnsi="仿宋_GB2312" w:eastAsia="仿宋_GB2312" w:cs="仿宋_GB2312"/>
          <w:b/>
          <w:bCs/>
          <w:color w:val="auto"/>
          <w:kern w:val="2"/>
          <w:sz w:val="28"/>
          <w:szCs w:val="28"/>
          <w:lang w:val="en-US" w:eastAsia="zh-CN" w:bidi="ar-SA"/>
        </w:rPr>
        <w:t>9.合同生效</w:t>
      </w:r>
      <w:bookmarkEnd w:id="40"/>
      <w:bookmarkEnd w:id="41"/>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sz w:val="24"/>
          <w:szCs w:val="24"/>
        </w:rPr>
      </w:pPr>
      <w:r>
        <w:rPr>
          <w:rFonts w:hint="eastAsia" w:ascii="仿宋_GB2312" w:hAnsi="仿宋_GB2312" w:eastAsia="仿宋_GB2312" w:cs="仿宋_GB2312"/>
          <w:color w:val="auto"/>
          <w:kern w:val="2"/>
          <w:sz w:val="28"/>
          <w:szCs w:val="28"/>
          <w:lang w:val="en-US" w:eastAsia="zh-CN" w:bidi="ar-SA"/>
        </w:rPr>
        <w:t xml:space="preserve">本合同自 </w:t>
      </w:r>
      <w:r>
        <w:rPr>
          <w:rFonts w:hint="eastAsia" w:ascii="仿宋_GB2312" w:hAnsi="仿宋_GB2312" w:eastAsia="仿宋_GB2312" w:cs="仿宋_GB2312"/>
          <w:color w:val="auto"/>
          <w:kern w:val="2"/>
          <w:sz w:val="28"/>
          <w:szCs w:val="28"/>
          <w:u w:val="single"/>
          <w:lang w:val="en-US" w:eastAsia="zh-CN" w:bidi="ar-SA"/>
        </w:rPr>
        <w:t xml:space="preserve"> 双方签字盖章</w:t>
      </w:r>
      <w:r>
        <w:rPr>
          <w:rFonts w:hint="eastAsia" w:ascii="仿宋_GB2312" w:hAnsi="仿宋_GB2312" w:eastAsia="仿宋_GB2312" w:cs="仿宋_GB2312"/>
          <w:color w:val="auto"/>
          <w:kern w:val="2"/>
          <w:sz w:val="28"/>
          <w:szCs w:val="28"/>
          <w:lang w:val="en-US" w:eastAsia="zh-CN" w:bidi="ar-SA"/>
        </w:rPr>
        <w:t xml:space="preserve"> 生效</w:t>
      </w:r>
      <w:r>
        <w:rPr>
          <w:rFonts w:hint="eastAsia" w:ascii="宋体" w:hAnsi="宋体"/>
          <w:sz w:val="24"/>
          <w:szCs w:val="24"/>
        </w:rPr>
        <w:t>。</w:t>
      </w:r>
    </w:p>
    <w:p>
      <w:pPr>
        <w:pStyle w:val="18"/>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562" w:firstLineChars="200"/>
        <w:jc w:val="left"/>
        <w:textAlignment w:val="auto"/>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10、合同份数</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sz w:val="24"/>
          <w:szCs w:val="24"/>
        </w:rPr>
      </w:pPr>
      <w:r>
        <w:rPr>
          <w:rFonts w:hint="eastAsia" w:ascii="仿宋_GB2312" w:hAnsi="仿宋_GB2312" w:eastAsia="仿宋_GB2312" w:cs="仿宋_GB2312"/>
          <w:color w:val="auto"/>
          <w:kern w:val="2"/>
          <w:sz w:val="28"/>
          <w:szCs w:val="28"/>
          <w:lang w:val="en-US" w:eastAsia="zh-CN" w:bidi="ar-SA"/>
        </w:rPr>
        <w:t>本合同一式</w:t>
      </w:r>
      <w:r>
        <w:rPr>
          <w:rFonts w:hint="eastAsia" w:ascii="仿宋_GB2312" w:hAnsi="仿宋_GB2312" w:eastAsia="仿宋_GB2312" w:cs="仿宋_GB2312"/>
          <w:color w:val="auto"/>
          <w:kern w:val="2"/>
          <w:sz w:val="28"/>
          <w:szCs w:val="28"/>
          <w:u w:val="single"/>
          <w:lang w:val="en-US" w:eastAsia="zh-CN" w:bidi="ar-SA"/>
        </w:rPr>
        <w:t xml:space="preserve"> 柒 </w:t>
      </w:r>
      <w:r>
        <w:rPr>
          <w:rFonts w:hint="eastAsia" w:ascii="仿宋_GB2312" w:hAnsi="仿宋_GB2312" w:eastAsia="仿宋_GB2312" w:cs="仿宋_GB2312"/>
          <w:color w:val="auto"/>
          <w:kern w:val="2"/>
          <w:sz w:val="28"/>
          <w:szCs w:val="28"/>
          <w:lang w:val="en-US" w:eastAsia="zh-CN" w:bidi="ar-SA"/>
        </w:rPr>
        <w:t>份，甲方</w:t>
      </w:r>
      <w:r>
        <w:rPr>
          <w:rFonts w:hint="eastAsia" w:ascii="仿宋_GB2312" w:hAnsi="仿宋_GB2312" w:eastAsia="仿宋_GB2312" w:cs="仿宋_GB2312"/>
          <w:color w:val="auto"/>
          <w:kern w:val="2"/>
          <w:sz w:val="28"/>
          <w:szCs w:val="28"/>
          <w:u w:val="single"/>
          <w:lang w:val="en-US" w:eastAsia="zh-CN" w:bidi="ar-SA"/>
        </w:rPr>
        <w:t xml:space="preserve"> 肆 </w:t>
      </w:r>
      <w:r>
        <w:rPr>
          <w:rFonts w:hint="eastAsia" w:ascii="仿宋_GB2312" w:hAnsi="仿宋_GB2312" w:eastAsia="仿宋_GB2312" w:cs="仿宋_GB2312"/>
          <w:color w:val="auto"/>
          <w:kern w:val="2"/>
          <w:sz w:val="28"/>
          <w:szCs w:val="28"/>
          <w:lang w:val="en-US" w:eastAsia="zh-CN" w:bidi="ar-SA"/>
        </w:rPr>
        <w:t>份，乙方</w:t>
      </w:r>
      <w:r>
        <w:rPr>
          <w:rFonts w:hint="eastAsia" w:ascii="仿宋_GB2312" w:hAnsi="仿宋_GB2312" w:eastAsia="仿宋_GB2312" w:cs="仿宋_GB2312"/>
          <w:color w:val="auto"/>
          <w:kern w:val="2"/>
          <w:sz w:val="28"/>
          <w:szCs w:val="28"/>
          <w:u w:val="single"/>
          <w:lang w:val="en-US" w:eastAsia="zh-CN" w:bidi="ar-SA"/>
        </w:rPr>
        <w:t xml:space="preserve"> 贰 </w:t>
      </w:r>
      <w:r>
        <w:rPr>
          <w:rFonts w:hint="eastAsia" w:ascii="仿宋_GB2312" w:hAnsi="仿宋_GB2312" w:eastAsia="仿宋_GB2312" w:cs="仿宋_GB2312"/>
          <w:color w:val="auto"/>
          <w:kern w:val="2"/>
          <w:sz w:val="28"/>
          <w:szCs w:val="28"/>
          <w:lang w:val="en-US" w:eastAsia="zh-CN" w:bidi="ar-SA"/>
        </w:rPr>
        <w:t>份，采购代理机构</w:t>
      </w:r>
      <w:r>
        <w:rPr>
          <w:rFonts w:hint="eastAsia" w:ascii="仿宋_GB2312" w:hAnsi="仿宋_GB2312" w:eastAsia="仿宋_GB2312" w:cs="仿宋_GB2312"/>
          <w:color w:val="auto"/>
          <w:kern w:val="2"/>
          <w:sz w:val="28"/>
          <w:szCs w:val="28"/>
          <w:u w:val="single"/>
          <w:lang w:val="en-US" w:eastAsia="zh-CN" w:bidi="ar-SA"/>
        </w:rPr>
        <w:t>壹</w:t>
      </w:r>
      <w:r>
        <w:rPr>
          <w:rFonts w:hint="eastAsia" w:ascii="仿宋_GB2312" w:hAnsi="仿宋_GB2312" w:eastAsia="仿宋_GB2312" w:cs="仿宋_GB2312"/>
          <w:color w:val="auto"/>
          <w:kern w:val="2"/>
          <w:sz w:val="28"/>
          <w:szCs w:val="28"/>
          <w:lang w:val="en-US" w:eastAsia="zh-CN" w:bidi="ar-SA"/>
        </w:rPr>
        <w:t>份，具有同等法律效力。</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color w:val="auto"/>
          <w:kern w:val="2"/>
          <w:sz w:val="28"/>
          <w:szCs w:val="28"/>
          <w:lang w:val="en-US" w:eastAsia="zh-CN" w:bidi="ar-SA"/>
        </w:rPr>
      </w:pP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color w:val="auto"/>
          <w:kern w:val="2"/>
          <w:sz w:val="28"/>
          <w:szCs w:val="28"/>
          <w:lang w:val="en-US" w:eastAsia="zh-CN" w:bidi="ar-SA"/>
        </w:rPr>
      </w:pP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color w:val="auto"/>
          <w:kern w:val="2"/>
          <w:sz w:val="28"/>
          <w:szCs w:val="28"/>
          <w:lang w:val="en-US" w:eastAsia="zh-CN" w:bidi="ar-SA"/>
        </w:rPr>
      </w:pP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color w:val="auto"/>
          <w:kern w:val="2"/>
          <w:sz w:val="28"/>
          <w:szCs w:val="28"/>
          <w:lang w:val="en-US" w:eastAsia="zh-CN" w:bidi="ar-SA"/>
        </w:rPr>
      </w:pP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color w:val="auto"/>
          <w:kern w:val="2"/>
          <w:sz w:val="28"/>
          <w:szCs w:val="28"/>
          <w:lang w:val="en-US" w:eastAsia="zh-CN" w:bidi="ar-SA"/>
        </w:rPr>
      </w:pP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color w:val="auto"/>
          <w:kern w:val="2"/>
          <w:sz w:val="28"/>
          <w:szCs w:val="28"/>
          <w:lang w:val="en-US" w:eastAsia="zh-CN" w:bidi="ar-SA"/>
        </w:rPr>
      </w:pP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color w:val="auto"/>
          <w:kern w:val="2"/>
          <w:sz w:val="28"/>
          <w:szCs w:val="28"/>
          <w:lang w:val="en-US" w:eastAsia="zh-CN" w:bidi="ar-SA"/>
        </w:rPr>
      </w:pP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color w:val="auto"/>
          <w:kern w:val="2"/>
          <w:sz w:val="28"/>
          <w:szCs w:val="28"/>
          <w:lang w:val="en-US" w:eastAsia="zh-CN" w:bidi="ar-SA"/>
        </w:rPr>
      </w:pP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color w:val="auto"/>
          <w:kern w:val="2"/>
          <w:sz w:val="28"/>
          <w:szCs w:val="28"/>
          <w:lang w:val="en-US" w:eastAsia="zh-CN" w:bidi="ar-SA"/>
        </w:rPr>
      </w:pP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委 托 人：                  （盖章）咨询人：          （盖章）</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 xml:space="preserve">法定代表人/授权代表：              法定代表人/授权代表      </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住    所：                         住    所：</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账    号：                         账    号：</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开户银行：                         开户银行：</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邮政编码：                         邮政编码：</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电    话：                         电    话：</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传    真：                         传    真：</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电子信箱：                         电子信箱：</w:t>
      </w:r>
    </w:p>
    <w:p>
      <w:pPr>
        <w:ind w:left="0" w:leftChars="0" w:firstLine="0" w:firstLineChars="0"/>
        <w:rPr>
          <w:rFonts w:hint="eastAsia" w:ascii="仿宋_GB2312" w:hAnsi="仿宋_GB2312" w:eastAsia="仿宋_GB2312" w:cs="仿宋_GB2312"/>
          <w:color w:val="auto"/>
          <w:kern w:val="2"/>
          <w:sz w:val="28"/>
          <w:szCs w:val="28"/>
          <w:lang w:val="en-US" w:eastAsia="zh-CN" w:bidi="ar-SA"/>
        </w:rPr>
      </w:pPr>
    </w:p>
    <w:p>
      <w:pPr>
        <w:pageBreakBefore w:val="0"/>
        <w:kinsoku/>
        <w:wordWrap/>
        <w:overflowPunct/>
        <w:topLinePunct w:val="0"/>
        <w:autoSpaceDE/>
        <w:autoSpaceDN/>
        <w:bidi w:val="0"/>
        <w:adjustRightInd/>
        <w:snapToGrid/>
        <w:spacing w:line="440" w:lineRule="exact"/>
        <w:textAlignment w:val="auto"/>
        <w:rPr>
          <w:rFonts w:hint="eastAsia" w:ascii="宋体" w:hAnsi="宋体"/>
          <w:sz w:val="24"/>
          <w:szCs w:val="24"/>
        </w:rPr>
      </w:pPr>
      <w:r>
        <w:rPr>
          <w:rFonts w:hint="eastAsia" w:ascii="宋体" w:hAnsi="宋体"/>
          <w:sz w:val="24"/>
          <w:szCs w:val="24"/>
        </w:rPr>
        <w:br w:type="page"/>
      </w:r>
    </w:p>
    <w:p>
      <w:pPr>
        <w:pStyle w:val="55"/>
        <w:pageBreakBefore w:val="0"/>
        <w:kinsoku/>
        <w:wordWrap/>
        <w:overflowPunct/>
        <w:topLinePunct w:val="0"/>
        <w:autoSpaceDE/>
        <w:autoSpaceDN/>
        <w:bidi w:val="0"/>
        <w:adjustRightInd/>
        <w:snapToGrid/>
        <w:spacing w:line="440" w:lineRule="exact"/>
        <w:jc w:val="center"/>
        <w:textAlignment w:val="auto"/>
        <w:rPr>
          <w:rFonts w:hint="eastAsia"/>
          <w:b/>
          <w:sz w:val="30"/>
          <w:szCs w:val="30"/>
        </w:rPr>
      </w:pPr>
      <w:r>
        <w:rPr>
          <w:rFonts w:hint="eastAsia"/>
          <w:b/>
          <w:sz w:val="30"/>
          <w:szCs w:val="30"/>
        </w:rPr>
        <w:t>第二部分</w:t>
      </w:r>
      <w:r>
        <w:rPr>
          <w:rFonts w:hint="eastAsia"/>
          <w:b/>
          <w:sz w:val="30"/>
          <w:szCs w:val="30"/>
          <w:lang w:val="en-US" w:eastAsia="zh-CN"/>
        </w:rPr>
        <w:t xml:space="preserve"> </w:t>
      </w:r>
      <w:r>
        <w:rPr>
          <w:rFonts w:hint="eastAsia"/>
          <w:b/>
          <w:sz w:val="30"/>
          <w:szCs w:val="30"/>
        </w:rPr>
        <w:t>通用条件</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jc w:val="left"/>
        <w:textAlignment w:val="auto"/>
        <w:rPr>
          <w:rFonts w:hint="eastAsia" w:ascii="仿宋_GB2312" w:hAnsi="仿宋_GB2312" w:eastAsia="仿宋_GB2312" w:cs="仿宋_GB2312"/>
          <w:b/>
          <w:bCs/>
          <w:color w:val="auto"/>
          <w:kern w:val="2"/>
          <w:sz w:val="28"/>
          <w:szCs w:val="28"/>
          <w:lang w:val="en-US" w:eastAsia="zh-CN" w:bidi="ar-SA"/>
        </w:rPr>
      </w:pPr>
      <w:bookmarkStart w:id="42" w:name="_Toc419045067"/>
      <w:bookmarkStart w:id="43" w:name="_Toc422322482"/>
      <w:r>
        <w:rPr>
          <w:rFonts w:hint="eastAsia" w:ascii="仿宋_GB2312" w:hAnsi="仿宋_GB2312" w:eastAsia="仿宋_GB2312" w:cs="仿宋_GB2312"/>
          <w:b/>
          <w:bCs/>
          <w:color w:val="auto"/>
          <w:kern w:val="2"/>
          <w:sz w:val="28"/>
          <w:szCs w:val="28"/>
          <w:lang w:val="en-US" w:eastAsia="zh-CN" w:bidi="ar-SA"/>
        </w:rPr>
        <w:t>1.词语定义、语言、解释顺序与适用法律</w:t>
      </w:r>
      <w:bookmarkEnd w:id="42"/>
      <w:bookmarkEnd w:id="43"/>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bookmarkStart w:id="44" w:name="_Toc419045068"/>
      <w:bookmarkStart w:id="45" w:name="_Toc422322483"/>
      <w:r>
        <w:rPr>
          <w:rFonts w:hint="eastAsia" w:ascii="仿宋_GB2312" w:hAnsi="仿宋_GB2312" w:eastAsia="仿宋_GB2312" w:cs="仿宋_GB2312"/>
          <w:color w:val="auto"/>
          <w:kern w:val="2"/>
          <w:sz w:val="28"/>
          <w:szCs w:val="28"/>
          <w:lang w:val="en-US" w:eastAsia="zh-CN" w:bidi="ar-SA"/>
        </w:rPr>
        <w:t>1.1词语定义</w:t>
      </w:r>
      <w:bookmarkEnd w:id="44"/>
      <w:bookmarkEnd w:id="45"/>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组成本合同的全部文件中的下列名词和用语应具有本款所赋予的含义：</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 xml:space="preserve">1.1.1“工程”是指按照本合同约定实施造价咨询与其他服务的建设工程。    </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1.1.2“工程造价”是指工程项目建设过程中预计或实际支出的全部费用。</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1.1.3“委托人”是指本合同中委托造价咨询与其他服务的一方，及其合法的继承人或受让人。</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1.1.4“咨询人”是指本合同中提供造价咨询与其他服务的一方，及其合法的继承人。</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 xml:space="preserve">    1.1.5“第三人”是指除委托人、咨询人以外与本咨询业务有关的当事人。</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1.1.6“正常工作”是指本合同订立时通用条件和专用条件中约定的咨询人的工作。</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1.1.7“附加工作”是指咨询人根据合同条件完成的正常工作以外的工作。</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1.1.8“项目咨询团队”是指咨询人指派负责履行本合同的团队，其团队成员为本合同的项目咨询人员。</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1.1.9“项目负责人”是指由咨询人的法定代表人书面授权，在授权范围内负责履行本合同、主持项目咨询团队工作的负责人。</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1.1.10“委托人代表”是指由委托人的法定代表人书面授权，在授权范围内行使委托人权利的人。</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1.1.11“酬金”是指咨询人履行本合同义务，委托人按照本合同约定给付咨询人的金额。</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1.1.12“正常工作酬金”是指在协议书中载明的，咨询人完成正常工作，委托人应给付咨询人的酬金。</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 xml:space="preserve">    1.1.13“附加工作酬金”是指咨询人完成附加工作，委托人应给付咨询人的酬金。</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1.1.14 “书面形式”是指合同书、信件和数据电文（包括电报、电传、传真、电子数据交换和电子邮件）等可以有形地表现所载内容的形式。</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1.1.15 “不可抗力”是指委托人和咨询人在订立本合同时不可预见，在合同履行过程中不可避免并不能克服的自然灾害和社会性突发事件，如地震、海啸、瘟疫、水灾、骚乱、暴动、战争等情形。</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bookmarkStart w:id="46" w:name="_Toc422322484"/>
      <w:bookmarkStart w:id="47" w:name="_Toc419045069"/>
      <w:r>
        <w:rPr>
          <w:rFonts w:hint="eastAsia" w:ascii="仿宋_GB2312" w:hAnsi="仿宋_GB2312" w:eastAsia="仿宋_GB2312" w:cs="仿宋_GB2312"/>
          <w:color w:val="auto"/>
          <w:kern w:val="2"/>
          <w:sz w:val="28"/>
          <w:szCs w:val="28"/>
          <w:lang w:val="en-US" w:eastAsia="zh-CN" w:bidi="ar-SA"/>
        </w:rPr>
        <w:t>1.2语言</w:t>
      </w:r>
      <w:bookmarkEnd w:id="46"/>
      <w:bookmarkEnd w:id="47"/>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本合同使用中文书写、解释和说明。如专用条件约定使用两种及以上语言文字时，应以中文为准。</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bookmarkStart w:id="48" w:name="_Toc419045070"/>
      <w:bookmarkStart w:id="49" w:name="_Toc422322485"/>
      <w:r>
        <w:rPr>
          <w:rFonts w:hint="eastAsia" w:ascii="仿宋_GB2312" w:hAnsi="仿宋_GB2312" w:eastAsia="仿宋_GB2312" w:cs="仿宋_GB2312"/>
          <w:color w:val="auto"/>
          <w:kern w:val="2"/>
          <w:sz w:val="28"/>
          <w:szCs w:val="28"/>
          <w:lang w:val="en-US" w:eastAsia="zh-CN" w:bidi="ar-SA"/>
        </w:rPr>
        <w:t>1.3合同文件的优先顺序</w:t>
      </w:r>
      <w:bookmarkEnd w:id="48"/>
      <w:bookmarkEnd w:id="49"/>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组成本合同的下列文件彼此应能相互解释、互为说明。除专用条件另有约定外，本合同文件的解释顺序如下：</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1.协议书</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2.中标通知书或委托书（如果有）；</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3.专用条件及附录；</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4.通用条件；</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5.投标函及投标函附录或造价咨询服务建议书（如果有）；</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6.其他合同文件。</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上述各项合同文件包括合同当事人就该项合同文件所作出的补充和修改，属于同一类内容的文件，应以最新签署的为准。</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在合同订立及履行过程中形成的与合同有关的文件均构成合同文件的组成部分。</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bookmarkStart w:id="50" w:name="_Toc419045071"/>
      <w:bookmarkStart w:id="51" w:name="_Toc422322486"/>
      <w:r>
        <w:rPr>
          <w:rFonts w:hint="eastAsia" w:ascii="仿宋_GB2312" w:hAnsi="仿宋_GB2312" w:eastAsia="仿宋_GB2312" w:cs="仿宋_GB2312"/>
          <w:color w:val="auto"/>
          <w:kern w:val="2"/>
          <w:sz w:val="28"/>
          <w:szCs w:val="28"/>
          <w:lang w:val="en-US" w:eastAsia="zh-CN" w:bidi="ar-SA"/>
        </w:rPr>
        <w:t>1.4适用法律</w:t>
      </w:r>
      <w:bookmarkEnd w:id="50"/>
      <w:bookmarkEnd w:id="51"/>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本合同适用中华人民共和国法律、行政法规、部门规章以及工程所在地的地方性法规、自治条例、单行条例和地方政府规章等。</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合同当事人可以在专用条件中约定本合同适用的其他规范、规程、定额、技术标准等规范性文件。</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jc w:val="left"/>
        <w:textAlignment w:val="auto"/>
        <w:rPr>
          <w:rFonts w:hint="eastAsia" w:ascii="仿宋_GB2312" w:hAnsi="仿宋_GB2312" w:eastAsia="仿宋_GB2312" w:cs="仿宋_GB2312"/>
          <w:b/>
          <w:bCs/>
          <w:color w:val="auto"/>
          <w:kern w:val="2"/>
          <w:sz w:val="28"/>
          <w:szCs w:val="28"/>
          <w:lang w:val="en-US" w:eastAsia="zh-CN" w:bidi="ar-SA"/>
        </w:rPr>
      </w:pPr>
      <w:bookmarkStart w:id="52" w:name="_Toc422322487"/>
      <w:r>
        <w:rPr>
          <w:rFonts w:hint="eastAsia" w:ascii="仿宋_GB2312" w:hAnsi="仿宋_GB2312" w:eastAsia="仿宋_GB2312" w:cs="仿宋_GB2312"/>
          <w:b/>
          <w:bCs/>
          <w:color w:val="auto"/>
          <w:kern w:val="2"/>
          <w:sz w:val="28"/>
          <w:szCs w:val="28"/>
          <w:lang w:val="en-US" w:eastAsia="zh-CN" w:bidi="ar-SA"/>
        </w:rPr>
        <w:t>2.委托人的义务</w:t>
      </w:r>
      <w:bookmarkEnd w:id="52"/>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bookmarkStart w:id="53" w:name="_Toc422322488"/>
      <w:bookmarkStart w:id="54" w:name="_Toc419045072"/>
      <w:r>
        <w:rPr>
          <w:rFonts w:hint="eastAsia" w:ascii="仿宋_GB2312" w:hAnsi="仿宋_GB2312" w:eastAsia="仿宋_GB2312" w:cs="仿宋_GB2312"/>
          <w:color w:val="auto"/>
          <w:kern w:val="2"/>
          <w:sz w:val="28"/>
          <w:szCs w:val="28"/>
          <w:lang w:val="en-US" w:eastAsia="zh-CN" w:bidi="ar-SA"/>
        </w:rPr>
        <w:t>2.1提供资料</w:t>
      </w:r>
      <w:bookmarkEnd w:id="53"/>
      <w:bookmarkEnd w:id="54"/>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委托人应当在专用条件约定的时间内，按照附录的约定无偿向咨询人提供与本合同咨询业务有关的资料。在本合同履行过程中，委托人应及时向咨询人提供最新的与本合同咨询业务有关的资料。委托人应对所提供资料的真实性、准确性、合法性与完整性负责。</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bookmarkStart w:id="55" w:name="_Toc419045073"/>
      <w:bookmarkStart w:id="56" w:name="_Toc422322489"/>
      <w:r>
        <w:rPr>
          <w:rFonts w:hint="eastAsia" w:ascii="仿宋_GB2312" w:hAnsi="仿宋_GB2312" w:eastAsia="仿宋_GB2312" w:cs="仿宋_GB2312"/>
          <w:color w:val="auto"/>
          <w:kern w:val="2"/>
          <w:sz w:val="28"/>
          <w:szCs w:val="28"/>
          <w:lang w:val="en-US" w:eastAsia="zh-CN" w:bidi="ar-SA"/>
        </w:rPr>
        <w:t>2.2提供工作条件</w:t>
      </w:r>
      <w:bookmarkEnd w:id="55"/>
      <w:bookmarkEnd w:id="56"/>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委托人应为咨询人完成造价咨询提供必要的条件。</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2.2.1委托人需要咨询人派驻项目现场咨询人员的，项目咨询人员应同委托人协商现场办公场所。</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2.2.2委托人应负责与本工程造价咨询业务有关的外部关系协调，为咨询人履行本合同提供必要的外部条件。</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bookmarkStart w:id="57" w:name="_Toc419045074"/>
      <w:bookmarkStart w:id="58" w:name="_Toc422322490"/>
      <w:r>
        <w:rPr>
          <w:rFonts w:hint="eastAsia" w:ascii="仿宋_GB2312" w:hAnsi="仿宋_GB2312" w:eastAsia="仿宋_GB2312" w:cs="仿宋_GB2312"/>
          <w:color w:val="auto"/>
          <w:kern w:val="2"/>
          <w:sz w:val="28"/>
          <w:szCs w:val="28"/>
          <w:lang w:val="en-US" w:eastAsia="zh-CN" w:bidi="ar-SA"/>
        </w:rPr>
        <w:t>2.3合理工作时限</w:t>
      </w:r>
      <w:bookmarkEnd w:id="57"/>
      <w:bookmarkEnd w:id="58"/>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委托人应当为咨询人完成其咨询工作，设定合理的工作时限。</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bookmarkStart w:id="59" w:name="_Toc422322491"/>
      <w:bookmarkStart w:id="60" w:name="_Toc419045075"/>
      <w:r>
        <w:rPr>
          <w:rFonts w:hint="eastAsia" w:ascii="仿宋_GB2312" w:hAnsi="仿宋_GB2312" w:eastAsia="仿宋_GB2312" w:cs="仿宋_GB2312"/>
          <w:color w:val="auto"/>
          <w:kern w:val="2"/>
          <w:sz w:val="28"/>
          <w:szCs w:val="28"/>
          <w:lang w:val="en-US" w:eastAsia="zh-CN" w:bidi="ar-SA"/>
        </w:rPr>
        <w:t>2.4委托人代表</w:t>
      </w:r>
      <w:bookmarkEnd w:id="59"/>
      <w:bookmarkEnd w:id="60"/>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委托人应授权一名代表负责本合同的履行。委托人应在双方签订本合同7日内，将委托人代表的姓名书面告知咨询人。</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bookmarkStart w:id="61" w:name="_Toc419045076"/>
      <w:bookmarkStart w:id="62" w:name="_Toc422322492"/>
      <w:r>
        <w:rPr>
          <w:rFonts w:hint="eastAsia" w:ascii="仿宋_GB2312" w:hAnsi="仿宋_GB2312" w:eastAsia="仿宋_GB2312" w:cs="仿宋_GB2312"/>
          <w:color w:val="auto"/>
          <w:kern w:val="2"/>
          <w:sz w:val="28"/>
          <w:szCs w:val="28"/>
          <w:lang w:val="en-US" w:eastAsia="zh-CN" w:bidi="ar-SA"/>
        </w:rPr>
        <w:t>2.5答复</w:t>
      </w:r>
      <w:bookmarkEnd w:id="61"/>
      <w:bookmarkEnd w:id="62"/>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委托人应当在专用条件约定的时间内就咨询人以书面形式提交并要求做出答复的事宜给予书面答复。</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bookmarkStart w:id="63" w:name="_Toc419045077"/>
      <w:bookmarkStart w:id="64" w:name="_Toc422322493"/>
      <w:r>
        <w:rPr>
          <w:rFonts w:hint="eastAsia" w:ascii="仿宋_GB2312" w:hAnsi="仿宋_GB2312" w:eastAsia="仿宋_GB2312" w:cs="仿宋_GB2312"/>
          <w:color w:val="auto"/>
          <w:kern w:val="2"/>
          <w:sz w:val="28"/>
          <w:szCs w:val="28"/>
          <w:lang w:val="en-US" w:eastAsia="zh-CN" w:bidi="ar-SA"/>
        </w:rPr>
        <w:t>2.6支付</w:t>
      </w:r>
      <w:bookmarkEnd w:id="63"/>
      <w:bookmarkEnd w:id="64"/>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委托人应当按照合同的约定，向咨询人支付酬金。</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jc w:val="left"/>
        <w:textAlignment w:val="auto"/>
        <w:rPr>
          <w:rFonts w:hint="eastAsia" w:ascii="仿宋_GB2312" w:hAnsi="仿宋_GB2312" w:eastAsia="仿宋_GB2312" w:cs="仿宋_GB2312"/>
          <w:b/>
          <w:bCs/>
          <w:color w:val="auto"/>
          <w:kern w:val="2"/>
          <w:sz w:val="28"/>
          <w:szCs w:val="28"/>
          <w:lang w:val="en-US" w:eastAsia="zh-CN" w:bidi="ar-SA"/>
        </w:rPr>
      </w:pPr>
      <w:bookmarkStart w:id="65" w:name="_Toc419045078"/>
      <w:bookmarkStart w:id="66" w:name="_Toc422322494"/>
      <w:r>
        <w:rPr>
          <w:rFonts w:hint="eastAsia" w:ascii="仿宋_GB2312" w:hAnsi="仿宋_GB2312" w:eastAsia="仿宋_GB2312" w:cs="仿宋_GB2312"/>
          <w:b/>
          <w:bCs/>
          <w:color w:val="auto"/>
          <w:kern w:val="2"/>
          <w:sz w:val="28"/>
          <w:szCs w:val="28"/>
          <w:lang w:val="en-US" w:eastAsia="zh-CN" w:bidi="ar-SA"/>
        </w:rPr>
        <w:t>3.咨询人的义务</w:t>
      </w:r>
      <w:bookmarkEnd w:id="65"/>
      <w:bookmarkEnd w:id="66"/>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bookmarkStart w:id="67" w:name="_Toc422322495"/>
      <w:bookmarkStart w:id="68" w:name="_Toc419045080"/>
      <w:bookmarkStart w:id="69" w:name="16"/>
      <w:r>
        <w:rPr>
          <w:rFonts w:hint="eastAsia" w:ascii="仿宋_GB2312" w:hAnsi="仿宋_GB2312" w:eastAsia="仿宋_GB2312" w:cs="仿宋_GB2312"/>
          <w:color w:val="auto"/>
          <w:kern w:val="2"/>
          <w:sz w:val="28"/>
          <w:szCs w:val="28"/>
          <w:lang w:val="en-US" w:eastAsia="zh-CN" w:bidi="ar-SA"/>
        </w:rPr>
        <w:t>3.1 项目咨询团队及人员</w:t>
      </w:r>
      <w:bookmarkEnd w:id="67"/>
      <w:bookmarkEnd w:id="68"/>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3.1.1项目咨询团队的主要人员应具有专用条件约定的资格条件，团队人员的数量应符合专用条件的约定。</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3.1.2项目负责人</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咨询人应以书面形式授权一名项目负责人负责履行本合同、主持项目咨询团队工作。采用招标程序签署本合同的，项目负责人应当与投标文件载明的一致。</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3.1.3在本合同履行过程中，咨询人员应保持相对稳定，以保证咨询工作正常进行。</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咨询人可根据工程进展和工作需要等情形调整项目咨询团队人员。咨询人更换项目负责人时，应提前7日向委托人书面报告，经委托人同意后方可更换。除专用条件另有约定外，咨询人更换项目咨询团队其他咨询人员，应提前3日向委托人书面报告，经委托人同意后以相当资格与能力的人员替换。</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3.1.4咨询人员有下列情形之一，委托人要求咨询人更换的，咨询人应当更换：</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（1）存在严重过失行为的；</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（2）存在违法行为不能履行职责的；</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（3）涉嫌犯罪的；</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（4）不能胜任岗位职责的；</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（5）严重违反职业道德的；</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（6）专用条件约定的其他情形。</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bookmarkStart w:id="70" w:name="_Toc422322496"/>
      <w:r>
        <w:rPr>
          <w:rFonts w:hint="eastAsia" w:ascii="仿宋_GB2312" w:hAnsi="仿宋_GB2312" w:eastAsia="仿宋_GB2312" w:cs="仿宋_GB2312"/>
          <w:color w:val="auto"/>
          <w:kern w:val="2"/>
          <w:sz w:val="28"/>
          <w:szCs w:val="28"/>
          <w:lang w:val="en-US" w:eastAsia="zh-CN" w:bidi="ar-SA"/>
        </w:rPr>
        <w:t>3.2 咨询人的工作要求</w:t>
      </w:r>
      <w:bookmarkEnd w:id="70"/>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3.2.1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3.2.2咨询人应当在专用条件约定的时间内，按照专用条件约定的份数、组成向委托人提交咨询成果文件。</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3.2.3咨询人提交的工程造价咨询成果文件，除加盖咨询人单位公章、工程造价咨询企业执业印章外，还必须按要求加盖参加咨询工作人员的执业（从业）资格印章。</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3.2.4咨询人应在专用条件约定的时间内，对委托人以书面形式提出的建议或者异议给予书面答复。</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3.2.5咨询人从事工程造价咨询活动，应当遵循独立、客观、公正、诚</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实信用的原则，不得损害社会公共利益和他人的合法权益。</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3.2.6咨询人承诺按照法律规定及合同约定，完成合同范围内的建设工程造价咨询服务，不转包承接的造价咨询服务业务。</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bookmarkStart w:id="71" w:name="_Toc419045081"/>
      <w:bookmarkStart w:id="72" w:name="_Toc422322497"/>
      <w:r>
        <w:rPr>
          <w:rFonts w:hint="eastAsia" w:ascii="仿宋_GB2312" w:hAnsi="仿宋_GB2312" w:eastAsia="仿宋_GB2312" w:cs="仿宋_GB2312"/>
          <w:color w:val="auto"/>
          <w:kern w:val="2"/>
          <w:sz w:val="28"/>
          <w:szCs w:val="28"/>
          <w:lang w:val="en-US" w:eastAsia="zh-CN" w:bidi="ar-SA"/>
        </w:rPr>
        <w:t>3.3咨询人的工作依据</w:t>
      </w:r>
      <w:bookmarkEnd w:id="71"/>
      <w:bookmarkEnd w:id="72"/>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咨询人应在专用条件内与委托人协商明确履行本合同约定的咨询服务需要适用的技术标准、规范、定额等工作依据，但不得违反国家及工程所在地的强制性标准、规范。</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咨询人应自行配备本条所述的技术标准、规范、定额等相关资料。必须由委托人提供的资料，应在附录中载明。需要委托人协助才能获得的资料，委托人应予以协助。</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bookmarkStart w:id="73" w:name="_Toc419045082"/>
      <w:bookmarkStart w:id="74" w:name="_Toc422322498"/>
      <w:r>
        <w:rPr>
          <w:rFonts w:hint="eastAsia" w:ascii="仿宋_GB2312" w:hAnsi="仿宋_GB2312" w:eastAsia="仿宋_GB2312" w:cs="仿宋_GB2312"/>
          <w:color w:val="auto"/>
          <w:kern w:val="2"/>
          <w:sz w:val="28"/>
          <w:szCs w:val="28"/>
          <w:lang w:val="en-US" w:eastAsia="zh-CN" w:bidi="ar-SA"/>
        </w:rPr>
        <w:t>3.4使用委托人房屋及设备的返还</w:t>
      </w:r>
      <w:bookmarkEnd w:id="73"/>
      <w:bookmarkEnd w:id="74"/>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项目咨询人员使用委托人提供的房屋及设备的，咨询人应妥善使用和保管，在本合同终止时将上述房屋及设备完好无损返还委托人。</w:t>
      </w:r>
    </w:p>
    <w:bookmarkEnd w:id="69"/>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jc w:val="left"/>
        <w:textAlignment w:val="auto"/>
        <w:rPr>
          <w:rFonts w:hint="eastAsia" w:ascii="仿宋_GB2312" w:hAnsi="仿宋_GB2312" w:eastAsia="仿宋_GB2312" w:cs="仿宋_GB2312"/>
          <w:b/>
          <w:bCs/>
          <w:color w:val="auto"/>
          <w:kern w:val="2"/>
          <w:sz w:val="28"/>
          <w:szCs w:val="28"/>
          <w:lang w:val="en-US" w:eastAsia="zh-CN" w:bidi="ar-SA"/>
        </w:rPr>
      </w:pPr>
      <w:bookmarkStart w:id="75" w:name="_Toc419045083"/>
      <w:bookmarkStart w:id="76" w:name="_Toc422322499"/>
      <w:bookmarkStart w:id="77" w:name="19"/>
      <w:r>
        <w:rPr>
          <w:rFonts w:hint="eastAsia" w:ascii="仿宋_GB2312" w:hAnsi="仿宋_GB2312" w:eastAsia="仿宋_GB2312" w:cs="仿宋_GB2312"/>
          <w:b/>
          <w:bCs/>
          <w:color w:val="auto"/>
          <w:kern w:val="2"/>
          <w:sz w:val="28"/>
          <w:szCs w:val="28"/>
          <w:lang w:val="en-US" w:eastAsia="zh-CN" w:bidi="ar-SA"/>
        </w:rPr>
        <w:t>4.违约责任</w:t>
      </w:r>
      <w:bookmarkEnd w:id="75"/>
      <w:bookmarkEnd w:id="76"/>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bookmarkStart w:id="78" w:name="_Toc422322500"/>
      <w:r>
        <w:rPr>
          <w:rFonts w:hint="eastAsia" w:ascii="仿宋_GB2312" w:hAnsi="仿宋_GB2312" w:eastAsia="仿宋_GB2312" w:cs="仿宋_GB2312"/>
          <w:color w:val="auto"/>
          <w:kern w:val="2"/>
          <w:sz w:val="28"/>
          <w:szCs w:val="28"/>
          <w:lang w:val="en-US" w:eastAsia="zh-CN" w:bidi="ar-SA"/>
        </w:rPr>
        <w:t>4.1委托人的违约责任</w:t>
      </w:r>
      <w:bookmarkEnd w:id="78"/>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4.1.1委托人不履行本合同义务或者履行义务不符合本合同约定的，应承担违约责任。</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4.1.2委托人违反本合同约定造成咨询人损失的，委托人应予以赔偿。</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bookmarkStart w:id="79" w:name="_Toc419045084"/>
      <w:bookmarkStart w:id="80" w:name="_Toc422322501"/>
      <w:r>
        <w:rPr>
          <w:rFonts w:hint="eastAsia" w:ascii="仿宋_GB2312" w:hAnsi="仿宋_GB2312" w:eastAsia="仿宋_GB2312" w:cs="仿宋_GB2312"/>
          <w:color w:val="auto"/>
          <w:kern w:val="2"/>
          <w:sz w:val="28"/>
          <w:szCs w:val="28"/>
          <w:lang w:val="en-US" w:eastAsia="zh-CN" w:bidi="ar-SA"/>
        </w:rPr>
        <w:t>4.2咨询人的违约责任</w:t>
      </w:r>
      <w:bookmarkEnd w:id="79"/>
      <w:bookmarkEnd w:id="80"/>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4.2.1咨询人不履行本合同义务或者履行义务不符合本合同约定的，应承担违约责任。</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4.2.2因咨询人违反本合同约定给委托人造成损失的，咨询人应当赔偿委托人损失。</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jc w:val="left"/>
        <w:textAlignment w:val="auto"/>
        <w:rPr>
          <w:rFonts w:hint="eastAsia" w:ascii="仿宋_GB2312" w:hAnsi="仿宋_GB2312" w:eastAsia="仿宋_GB2312" w:cs="仿宋_GB2312"/>
          <w:b/>
          <w:bCs/>
          <w:color w:val="auto"/>
          <w:kern w:val="2"/>
          <w:sz w:val="28"/>
          <w:szCs w:val="28"/>
          <w:lang w:val="en-US" w:eastAsia="zh-CN" w:bidi="ar-SA"/>
        </w:rPr>
      </w:pPr>
      <w:bookmarkStart w:id="81" w:name="_Toc419045086"/>
      <w:bookmarkStart w:id="82" w:name="_Toc422322502"/>
      <w:r>
        <w:rPr>
          <w:rFonts w:hint="eastAsia" w:ascii="仿宋_GB2312" w:hAnsi="仿宋_GB2312" w:eastAsia="仿宋_GB2312" w:cs="仿宋_GB2312"/>
          <w:b/>
          <w:bCs/>
          <w:color w:val="auto"/>
          <w:kern w:val="2"/>
          <w:sz w:val="28"/>
          <w:szCs w:val="28"/>
          <w:lang w:val="en-US" w:eastAsia="zh-CN" w:bidi="ar-SA"/>
        </w:rPr>
        <w:t>5.支付</w:t>
      </w:r>
      <w:bookmarkEnd w:id="81"/>
      <w:bookmarkEnd w:id="82"/>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bookmarkStart w:id="83" w:name="_Toc419045087"/>
      <w:bookmarkStart w:id="84" w:name="_Toc422322503"/>
      <w:r>
        <w:rPr>
          <w:rFonts w:hint="eastAsia" w:ascii="仿宋_GB2312" w:hAnsi="仿宋_GB2312" w:eastAsia="仿宋_GB2312" w:cs="仿宋_GB2312"/>
          <w:color w:val="auto"/>
          <w:kern w:val="2"/>
          <w:sz w:val="28"/>
          <w:szCs w:val="28"/>
          <w:lang w:val="en-US" w:eastAsia="zh-CN" w:bidi="ar-SA"/>
        </w:rPr>
        <w:t>5.1支付货币</w:t>
      </w:r>
      <w:bookmarkEnd w:id="83"/>
      <w:bookmarkEnd w:id="84"/>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除专用条件另有约定外，酬金均以人民币支付。涉及外币支付的，所采用的货币种类和汇率等在专用条件中约定。</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bookmarkStart w:id="85" w:name="_Toc422322504"/>
      <w:r>
        <w:rPr>
          <w:rFonts w:hint="eastAsia" w:ascii="仿宋_GB2312" w:hAnsi="仿宋_GB2312" w:eastAsia="仿宋_GB2312" w:cs="仿宋_GB2312"/>
          <w:color w:val="auto"/>
          <w:kern w:val="2"/>
          <w:sz w:val="28"/>
          <w:szCs w:val="28"/>
          <w:lang w:val="en-US" w:eastAsia="zh-CN" w:bidi="ar-SA"/>
        </w:rPr>
        <w:t>5.2支付申请</w:t>
      </w:r>
      <w:bookmarkEnd w:id="85"/>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咨询人应在本合同约定的每次应付款日期前，向委托人提交支付申请书，支付申请书的提交日期由双方在专用条件中约定。支付申请书应当说明当期应付款总额，并列出当期应支付的款项及其金额。</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bookmarkStart w:id="86" w:name="_Toc422322505"/>
      <w:r>
        <w:rPr>
          <w:rFonts w:hint="eastAsia" w:ascii="仿宋_GB2312" w:hAnsi="仿宋_GB2312" w:eastAsia="仿宋_GB2312" w:cs="仿宋_GB2312"/>
          <w:color w:val="auto"/>
          <w:kern w:val="2"/>
          <w:sz w:val="28"/>
          <w:szCs w:val="28"/>
          <w:lang w:val="en-US" w:eastAsia="zh-CN" w:bidi="ar-SA"/>
        </w:rPr>
        <w:t>5.3 支付酬金</w:t>
      </w:r>
      <w:bookmarkEnd w:id="86"/>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合同约定的应付的报酬（包含各种费用及税收等）</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bookmarkStart w:id="87" w:name="_Toc422322506"/>
      <w:r>
        <w:rPr>
          <w:rFonts w:hint="eastAsia" w:ascii="仿宋_GB2312" w:hAnsi="仿宋_GB2312" w:eastAsia="仿宋_GB2312" w:cs="仿宋_GB2312"/>
          <w:color w:val="auto"/>
          <w:kern w:val="2"/>
          <w:sz w:val="28"/>
          <w:szCs w:val="28"/>
          <w:lang w:val="en-US" w:eastAsia="zh-CN" w:bidi="ar-SA"/>
        </w:rPr>
        <w:t>5.4有异议部分的支付</w:t>
      </w:r>
      <w:bookmarkEnd w:id="87"/>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委托人对咨询人提交的支付申请书有异议时，应当在收到咨询人提交的支付申请书后7日内，以书面形式向咨询人发出异议通知。无异议部分的款项应按期支付，有异议部分的款项按第7条约定办理。</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jc w:val="left"/>
        <w:textAlignment w:val="auto"/>
        <w:rPr>
          <w:rFonts w:hint="eastAsia" w:ascii="仿宋_GB2312" w:hAnsi="仿宋_GB2312" w:eastAsia="仿宋_GB2312" w:cs="仿宋_GB2312"/>
          <w:b/>
          <w:bCs/>
          <w:color w:val="auto"/>
          <w:kern w:val="2"/>
          <w:sz w:val="28"/>
          <w:szCs w:val="28"/>
          <w:lang w:val="en-US" w:eastAsia="zh-CN" w:bidi="ar-SA"/>
        </w:rPr>
      </w:pPr>
      <w:bookmarkStart w:id="88" w:name="_Toc419045088"/>
      <w:bookmarkStart w:id="89" w:name="_Toc422322507"/>
      <w:r>
        <w:rPr>
          <w:rFonts w:hint="eastAsia" w:ascii="仿宋_GB2312" w:hAnsi="仿宋_GB2312" w:eastAsia="仿宋_GB2312" w:cs="仿宋_GB2312"/>
          <w:b/>
          <w:bCs/>
          <w:color w:val="auto"/>
          <w:kern w:val="2"/>
          <w:sz w:val="28"/>
          <w:szCs w:val="28"/>
          <w:lang w:val="en-US" w:eastAsia="zh-CN" w:bidi="ar-SA"/>
        </w:rPr>
        <w:t>6.合同变更、解除与终止</w:t>
      </w:r>
      <w:bookmarkEnd w:id="88"/>
      <w:bookmarkEnd w:id="89"/>
    </w:p>
    <w:p>
      <w:pPr>
        <w:pStyle w:val="55"/>
        <w:keepNext w:val="0"/>
        <w:keepLines w:val="0"/>
        <w:pageBreakBefore w:val="0"/>
        <w:widowControl w:val="0"/>
        <w:kinsoku/>
        <w:wordWrap/>
        <w:overflowPunct/>
        <w:topLinePunct w:val="0"/>
        <w:autoSpaceDE/>
        <w:autoSpaceDN/>
        <w:bidi w:val="0"/>
        <w:adjustRightInd/>
        <w:snapToGrid/>
        <w:spacing w:line="440" w:lineRule="exact"/>
        <w:ind w:left="557" w:leftChars="232" w:firstLine="0" w:firstLineChars="0"/>
        <w:jc w:val="left"/>
        <w:textAlignment w:val="auto"/>
        <w:rPr>
          <w:rFonts w:hint="eastAsia" w:ascii="仿宋_GB2312" w:hAnsi="仿宋_GB2312" w:eastAsia="仿宋_GB2312" w:cs="仿宋_GB2312"/>
          <w:color w:val="auto"/>
          <w:kern w:val="2"/>
          <w:sz w:val="28"/>
          <w:szCs w:val="28"/>
          <w:lang w:val="en-US" w:eastAsia="zh-CN" w:bidi="ar-SA"/>
        </w:rPr>
      </w:pPr>
      <w:bookmarkStart w:id="90" w:name="_Toc422322508"/>
      <w:bookmarkStart w:id="91" w:name="_Toc419045089"/>
      <w:r>
        <w:rPr>
          <w:rFonts w:hint="eastAsia" w:ascii="仿宋_GB2312" w:hAnsi="仿宋_GB2312" w:eastAsia="仿宋_GB2312" w:cs="仿宋_GB2312"/>
          <w:color w:val="auto"/>
          <w:kern w:val="2"/>
          <w:sz w:val="28"/>
          <w:szCs w:val="28"/>
          <w:lang w:val="en-US" w:eastAsia="zh-CN" w:bidi="ar-SA"/>
        </w:rPr>
        <w:t>6.1合同变更</w:t>
      </w:r>
      <w:bookmarkEnd w:id="90"/>
      <w:bookmarkEnd w:id="91"/>
      <w:r>
        <w:rPr>
          <w:rFonts w:hint="eastAsia" w:ascii="仿宋_GB2312" w:hAnsi="仿宋_GB2312" w:eastAsia="仿宋_GB2312" w:cs="仿宋_GB2312"/>
          <w:color w:val="auto"/>
          <w:kern w:val="2"/>
          <w:sz w:val="28"/>
          <w:szCs w:val="28"/>
          <w:lang w:val="en-US" w:eastAsia="zh-CN" w:bidi="ar-SA"/>
        </w:rPr>
        <w:t xml:space="preserve"> </w:t>
      </w:r>
    </w:p>
    <w:p>
      <w:pPr>
        <w:pStyle w:val="55"/>
        <w:keepNext w:val="0"/>
        <w:keepLines w:val="0"/>
        <w:pageBreakBefore w:val="0"/>
        <w:widowControl w:val="0"/>
        <w:kinsoku/>
        <w:wordWrap/>
        <w:overflowPunct/>
        <w:topLinePunct w:val="0"/>
        <w:autoSpaceDE/>
        <w:autoSpaceDN/>
        <w:bidi w:val="0"/>
        <w:adjustRightInd/>
        <w:snapToGrid/>
        <w:spacing w:line="440" w:lineRule="exact"/>
        <w:ind w:left="557" w:leftChars="232" w:firstLine="0" w:firstLineChars="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6.1.1任何一方以书面形式提出变更请求时，双方经协商一致后可进行变更。</w:t>
      </w:r>
    </w:p>
    <w:p>
      <w:pPr>
        <w:pStyle w:val="55"/>
        <w:keepNext w:val="0"/>
        <w:keepLines w:val="0"/>
        <w:pageBreakBefore w:val="0"/>
        <w:widowControl w:val="0"/>
        <w:kinsoku/>
        <w:wordWrap/>
        <w:overflowPunct/>
        <w:topLinePunct w:val="0"/>
        <w:autoSpaceDE/>
        <w:autoSpaceDN/>
        <w:bidi w:val="0"/>
        <w:adjustRightInd/>
        <w:snapToGrid/>
        <w:spacing w:line="440" w:lineRule="exact"/>
        <w:ind w:left="557" w:leftChars="232" w:firstLine="0" w:firstLineChars="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6.1.2除不可抗力外，因咨询人原因导致咨询人履行合同期限延长、内容增加时，咨询人应当将此情况与可能产生的影响及时通知委托人。</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6.1.3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　　6.1.4 因工程规模、服务范围及工作内容的变化等导致咨询人的工作量增减时，服务酬金应作相应调整，调整方法应通过协商确定。</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bookmarkStart w:id="92" w:name="_Toc422322509"/>
      <w:bookmarkStart w:id="93" w:name="_Toc419045090"/>
      <w:r>
        <w:rPr>
          <w:rFonts w:hint="eastAsia" w:ascii="仿宋_GB2312" w:hAnsi="仿宋_GB2312" w:eastAsia="仿宋_GB2312" w:cs="仿宋_GB2312"/>
          <w:color w:val="auto"/>
          <w:kern w:val="2"/>
          <w:sz w:val="28"/>
          <w:szCs w:val="28"/>
          <w:lang w:val="en-US" w:eastAsia="zh-CN" w:bidi="ar-SA"/>
        </w:rPr>
        <w:t>6.2合同解除</w:t>
      </w:r>
      <w:bookmarkEnd w:id="92"/>
      <w:bookmarkEnd w:id="93"/>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6.2.1 委托人与咨询人协商一致，可以解除合同。</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6.2.2 有下列情形之一的，合同当事人一方或双方可以解除合同：</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（1）咨询人将本合同约定的工程造价咨询服务工作全部或部分转包给他人，委托人可以解除合同；</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 xml:space="preserve">    （2）咨询人提供的造价咨询服务不符合合同约定的要求，经委托人催告仍不能达到合同约定要求的，委托人可以解除合同；</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（3）委托人未按合同约定支付服务酬金，经咨询人催告后，在28天内仍未支付的，咨询人可以解除合同；</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（4）因不可抗力致使合同无法履行；</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（5）因一方违约致使合同无法实际履行或实际履行已无必要。</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除上述情形外，双方可以根据委托的服务范围及工作内容，在专用条件中约定解除合同的其他条件。</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6.2.3 任何一方提出解除合同的，应提前30天书面通知对方。</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6.2.4合同解除后，委托人应按照合同约定向咨询人支付已完成部分的咨询服务酬金。</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因不可抗力导致的合同解除，其损失的分担由双方协商确定。除不可抗力外因非咨询人原因导致的合同解除，其损失由委托人承担。因咨询人自身原因导致的合同解除，按照违约责任处理。</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6.2.5本合同解除后，本合同约定的有关结算、争议解决方式的条款仍然有效。</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bookmarkStart w:id="94" w:name="_Toc422322510"/>
      <w:r>
        <w:rPr>
          <w:rFonts w:hint="eastAsia" w:ascii="仿宋_GB2312" w:hAnsi="仿宋_GB2312" w:eastAsia="仿宋_GB2312" w:cs="仿宋_GB2312"/>
          <w:color w:val="auto"/>
          <w:kern w:val="2"/>
          <w:sz w:val="28"/>
          <w:szCs w:val="28"/>
          <w:lang w:val="en-US" w:eastAsia="zh-CN" w:bidi="ar-SA"/>
        </w:rPr>
        <w:t>6.3 合同终止</w:t>
      </w:r>
      <w:bookmarkEnd w:id="94"/>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　　除合同解除外，以下条件全部满足时，本合同终止：</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　 （1）咨询人完成本合同约定的全部工作；</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　 （2）委托人与咨询人结清并支付酬金；</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 xml:space="preserve">   （3）咨询人将委托人提供的资料交还。</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jc w:val="left"/>
        <w:textAlignment w:val="auto"/>
        <w:rPr>
          <w:rFonts w:hint="eastAsia" w:ascii="仿宋_GB2312" w:hAnsi="仿宋_GB2312" w:eastAsia="仿宋_GB2312" w:cs="仿宋_GB2312"/>
          <w:b/>
          <w:bCs/>
          <w:color w:val="auto"/>
          <w:kern w:val="2"/>
          <w:sz w:val="28"/>
          <w:szCs w:val="28"/>
          <w:lang w:val="en-US" w:eastAsia="zh-CN" w:bidi="ar-SA"/>
        </w:rPr>
      </w:pPr>
      <w:bookmarkStart w:id="95" w:name="_Toc419045091"/>
      <w:bookmarkStart w:id="96" w:name="_Toc422322511"/>
      <w:r>
        <w:rPr>
          <w:rFonts w:hint="eastAsia" w:ascii="仿宋_GB2312" w:hAnsi="仿宋_GB2312" w:eastAsia="仿宋_GB2312" w:cs="仿宋_GB2312"/>
          <w:b/>
          <w:bCs/>
          <w:color w:val="auto"/>
          <w:kern w:val="2"/>
          <w:sz w:val="28"/>
          <w:szCs w:val="28"/>
          <w:lang w:val="en-US" w:eastAsia="zh-CN" w:bidi="ar-SA"/>
        </w:rPr>
        <w:t>7.争议解决</w:t>
      </w:r>
      <w:bookmarkEnd w:id="77"/>
      <w:bookmarkEnd w:id="95"/>
      <w:bookmarkEnd w:id="96"/>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bookmarkStart w:id="97" w:name="_Toc422322512"/>
      <w:bookmarkStart w:id="98" w:name="_Toc419045092"/>
      <w:r>
        <w:rPr>
          <w:rFonts w:hint="eastAsia" w:ascii="仿宋_GB2312" w:hAnsi="仿宋_GB2312" w:eastAsia="仿宋_GB2312" w:cs="仿宋_GB2312"/>
          <w:color w:val="auto"/>
          <w:kern w:val="2"/>
          <w:sz w:val="28"/>
          <w:szCs w:val="28"/>
          <w:lang w:val="en-US" w:eastAsia="zh-CN" w:bidi="ar-SA"/>
        </w:rPr>
        <w:t>7.1协商</w:t>
      </w:r>
      <w:bookmarkEnd w:id="97"/>
      <w:bookmarkEnd w:id="98"/>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　　双方应本着诚实信用的原则协商解决本合同履行过程中发生的争议。</w:t>
      </w:r>
      <w:bookmarkStart w:id="99" w:name="37"/>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bookmarkStart w:id="100" w:name="_Toc422322513"/>
      <w:bookmarkStart w:id="101" w:name="_Toc419045093"/>
      <w:r>
        <w:rPr>
          <w:rFonts w:hint="eastAsia" w:ascii="仿宋_GB2312" w:hAnsi="仿宋_GB2312" w:eastAsia="仿宋_GB2312" w:cs="仿宋_GB2312"/>
          <w:color w:val="auto"/>
          <w:kern w:val="2"/>
          <w:sz w:val="28"/>
          <w:szCs w:val="28"/>
          <w:lang w:val="en-US" w:eastAsia="zh-CN" w:bidi="ar-SA"/>
        </w:rPr>
        <w:t>7.2</w:t>
      </w:r>
      <w:bookmarkEnd w:id="99"/>
      <w:r>
        <w:rPr>
          <w:rFonts w:hint="eastAsia" w:ascii="仿宋_GB2312" w:hAnsi="仿宋_GB2312" w:eastAsia="仿宋_GB2312" w:cs="仿宋_GB2312"/>
          <w:color w:val="auto"/>
          <w:kern w:val="2"/>
          <w:sz w:val="28"/>
          <w:szCs w:val="28"/>
          <w:lang w:val="en-US" w:eastAsia="zh-CN" w:bidi="ar-SA"/>
        </w:rPr>
        <w:t>调解</w:t>
      </w:r>
      <w:bookmarkEnd w:id="100"/>
      <w:bookmarkEnd w:id="101"/>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　　如果双方不能在14日内或双方商定的其他时间内解决本合同争议，可以将其提交给专用条件约定的或事后达成协议的调解人进行调解。</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bookmarkStart w:id="102" w:name="38"/>
      <w:bookmarkStart w:id="103" w:name="_Toc422322514"/>
      <w:bookmarkStart w:id="104" w:name="_Toc419045094"/>
      <w:r>
        <w:rPr>
          <w:rFonts w:hint="eastAsia" w:ascii="仿宋_GB2312" w:hAnsi="仿宋_GB2312" w:eastAsia="仿宋_GB2312" w:cs="仿宋_GB2312"/>
          <w:color w:val="auto"/>
          <w:kern w:val="2"/>
          <w:sz w:val="28"/>
          <w:szCs w:val="28"/>
          <w:lang w:val="en-US" w:eastAsia="zh-CN" w:bidi="ar-SA"/>
        </w:rPr>
        <w:t>7.</w:t>
      </w:r>
      <w:bookmarkEnd w:id="102"/>
      <w:r>
        <w:rPr>
          <w:rFonts w:hint="eastAsia" w:ascii="仿宋_GB2312" w:hAnsi="仿宋_GB2312" w:eastAsia="仿宋_GB2312" w:cs="仿宋_GB2312"/>
          <w:color w:val="auto"/>
          <w:kern w:val="2"/>
          <w:sz w:val="28"/>
          <w:szCs w:val="28"/>
          <w:lang w:val="en-US" w:eastAsia="zh-CN" w:bidi="ar-SA"/>
        </w:rPr>
        <w:t>3仲裁或诉讼</w:t>
      </w:r>
      <w:bookmarkEnd w:id="103"/>
      <w:bookmarkEnd w:id="104"/>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　　双方均有权不经调解直接向专用条件约定的仲裁机构申请仲裁或向有管辖权的人民法院提起诉讼。</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jc w:val="left"/>
        <w:textAlignment w:val="auto"/>
        <w:rPr>
          <w:rFonts w:hint="eastAsia" w:ascii="仿宋_GB2312" w:hAnsi="仿宋_GB2312" w:eastAsia="仿宋_GB2312" w:cs="仿宋_GB2312"/>
          <w:b/>
          <w:bCs/>
          <w:color w:val="auto"/>
          <w:kern w:val="2"/>
          <w:sz w:val="28"/>
          <w:szCs w:val="28"/>
          <w:lang w:val="en-US" w:eastAsia="zh-CN" w:bidi="ar-SA"/>
        </w:rPr>
      </w:pPr>
      <w:bookmarkStart w:id="105" w:name="_Toc422322515"/>
      <w:bookmarkStart w:id="106" w:name="_Toc419045095"/>
      <w:r>
        <w:rPr>
          <w:rFonts w:hint="eastAsia" w:ascii="仿宋_GB2312" w:hAnsi="仿宋_GB2312" w:eastAsia="仿宋_GB2312" w:cs="仿宋_GB2312"/>
          <w:b/>
          <w:bCs/>
          <w:color w:val="auto"/>
          <w:kern w:val="2"/>
          <w:sz w:val="28"/>
          <w:szCs w:val="28"/>
          <w:lang w:val="en-US" w:eastAsia="zh-CN" w:bidi="ar-SA"/>
        </w:rPr>
        <w:t>8.其他</w:t>
      </w:r>
      <w:bookmarkEnd w:id="105"/>
      <w:bookmarkEnd w:id="106"/>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bookmarkStart w:id="107" w:name="39"/>
      <w:bookmarkStart w:id="108" w:name="_Toc419045096"/>
      <w:bookmarkStart w:id="109" w:name="_Toc422322516"/>
      <w:r>
        <w:rPr>
          <w:rFonts w:hint="eastAsia" w:ascii="仿宋_GB2312" w:hAnsi="仿宋_GB2312" w:eastAsia="仿宋_GB2312" w:cs="仿宋_GB2312"/>
          <w:color w:val="auto"/>
          <w:kern w:val="2"/>
          <w:sz w:val="28"/>
          <w:szCs w:val="28"/>
          <w:lang w:val="en-US" w:eastAsia="zh-CN" w:bidi="ar-SA"/>
        </w:rPr>
        <w:t>8.1</w:t>
      </w:r>
      <w:bookmarkEnd w:id="107"/>
      <w:r>
        <w:rPr>
          <w:rFonts w:hint="eastAsia" w:ascii="仿宋_GB2312" w:hAnsi="仿宋_GB2312" w:eastAsia="仿宋_GB2312" w:cs="仿宋_GB2312"/>
          <w:color w:val="auto"/>
          <w:kern w:val="2"/>
          <w:sz w:val="28"/>
          <w:szCs w:val="28"/>
          <w:lang w:val="en-US" w:eastAsia="zh-CN" w:bidi="ar-SA"/>
        </w:rPr>
        <w:t>考察及相关费用</w:t>
      </w:r>
      <w:bookmarkEnd w:id="108"/>
      <w:bookmarkEnd w:id="109"/>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咨询人在履行本合同过程中产生的考察费、现场踏勘费、差旅费等相关费用均由咨询人承担。</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bookmarkStart w:id="110" w:name="_Toc422322517"/>
      <w:r>
        <w:rPr>
          <w:rFonts w:hint="eastAsia" w:ascii="仿宋_GB2312" w:hAnsi="仿宋_GB2312" w:eastAsia="仿宋_GB2312" w:cs="仿宋_GB2312"/>
          <w:color w:val="auto"/>
          <w:kern w:val="2"/>
          <w:sz w:val="28"/>
          <w:szCs w:val="28"/>
          <w:lang w:val="en-US" w:eastAsia="zh-CN" w:bidi="ar-SA"/>
        </w:rPr>
        <w:t>8.2奖励</w:t>
      </w:r>
      <w:bookmarkEnd w:id="110"/>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对于咨询人在服务过程中提出合理化建议，使委托人获得效益的，双方协商确定奖励金额。奖励金额在合理化建议被采纳后，与最近一期的正常工作酬金同期支付。</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bookmarkStart w:id="111" w:name="_Toc422322518"/>
      <w:r>
        <w:rPr>
          <w:rFonts w:hint="eastAsia" w:ascii="仿宋_GB2312" w:hAnsi="仿宋_GB2312" w:eastAsia="仿宋_GB2312" w:cs="仿宋_GB2312"/>
          <w:color w:val="auto"/>
          <w:kern w:val="2"/>
          <w:sz w:val="28"/>
          <w:szCs w:val="28"/>
          <w:lang w:val="en-US" w:eastAsia="zh-CN" w:bidi="ar-SA"/>
        </w:rPr>
        <w:t>8.3保密</w:t>
      </w:r>
      <w:bookmarkEnd w:id="111"/>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在本合同履行期间或约定的期限内，双方不得泄露对方任何资料，亦不得泄露与实施工程有关的第三人所提供的保密资料。</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bookmarkStart w:id="112" w:name="_Toc419045097"/>
      <w:bookmarkStart w:id="113" w:name="_Toc422322519"/>
      <w:r>
        <w:rPr>
          <w:rFonts w:hint="eastAsia" w:ascii="仿宋_GB2312" w:hAnsi="仿宋_GB2312" w:eastAsia="仿宋_GB2312" w:cs="仿宋_GB2312"/>
          <w:color w:val="auto"/>
          <w:kern w:val="2"/>
          <w:sz w:val="28"/>
          <w:szCs w:val="28"/>
          <w:lang w:val="en-US" w:eastAsia="zh-CN" w:bidi="ar-SA"/>
        </w:rPr>
        <w:t>8.4</w:t>
      </w:r>
      <w:bookmarkEnd w:id="112"/>
      <w:r>
        <w:rPr>
          <w:rFonts w:hint="eastAsia" w:ascii="仿宋_GB2312" w:hAnsi="仿宋_GB2312" w:eastAsia="仿宋_GB2312" w:cs="仿宋_GB2312"/>
          <w:color w:val="auto"/>
          <w:kern w:val="2"/>
          <w:sz w:val="28"/>
          <w:szCs w:val="28"/>
          <w:lang w:val="en-US" w:eastAsia="zh-CN" w:bidi="ar-SA"/>
        </w:rPr>
        <w:t>联络</w:t>
      </w:r>
      <w:bookmarkEnd w:id="113"/>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8.4.1与合同有关的通知、指示、要求、决定等，均应采用书面形式，并应在约定的期限内送达接收人和送达地点。</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8.4.2委托人和咨询人应约定各自的送达接收人、送达地点、电子邮箱。任何一方指定的接收人或送达地点或电子邮箱发生变动的，应提前3天以书面形式通知对方，否则视为未发生变动。</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8.4.3委托人和咨询人应当及时签收另一方送达至送达地点和指定接收人的往来函件，如确有充分证据证明一方无正当理由拒不签收的，视为认可往来函件的内容。</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bookmarkStart w:id="114" w:name="_Toc422322520"/>
      <w:r>
        <w:rPr>
          <w:rFonts w:hint="eastAsia" w:ascii="仿宋_GB2312" w:hAnsi="仿宋_GB2312" w:eastAsia="仿宋_GB2312" w:cs="仿宋_GB2312"/>
          <w:color w:val="auto"/>
          <w:kern w:val="2"/>
          <w:sz w:val="28"/>
          <w:szCs w:val="28"/>
          <w:lang w:val="en-US" w:eastAsia="zh-CN" w:bidi="ar-SA"/>
        </w:rPr>
        <w:t>8.5知识产权</w:t>
      </w:r>
      <w:bookmarkEnd w:id="114"/>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双方保证在履行本合同过程中不侵犯对方及第三方的知识产权。因咨询人侵犯他人知识产权所引起的责任，由咨询人承担；因委托人提供的基础资料导致侵权的，由委托人承担责任。</w:t>
      </w:r>
    </w:p>
    <w:p>
      <w:pPr>
        <w:pStyle w:val="5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除专用条件另有约定外，双方均有权在履行本合同保密义务并且不损害对方利益的情况下，将履行本合同形成的有关成果文件用于企业宣传、申报奖项以及接受上级主管部门的检查。</w:t>
      </w:r>
    </w:p>
    <w:p>
      <w:pPr>
        <w:pStyle w:val="4"/>
        <w:pageBreakBefore w:val="0"/>
        <w:kinsoku/>
        <w:wordWrap/>
        <w:overflowPunct/>
        <w:topLinePunct w:val="0"/>
        <w:autoSpaceDE/>
        <w:autoSpaceDN/>
        <w:bidi w:val="0"/>
        <w:adjustRightInd/>
        <w:snapToGrid/>
        <w:spacing w:after="120" w:line="440" w:lineRule="exact"/>
        <w:jc w:val="center"/>
        <w:textAlignment w:val="auto"/>
        <w:rPr>
          <w:rFonts w:hint="eastAsia"/>
        </w:rPr>
      </w:pPr>
      <w:bookmarkStart w:id="115" w:name="_Toc422322522"/>
      <w:bookmarkStart w:id="116" w:name="_Toc419045099"/>
      <w:r>
        <w:rPr>
          <w:rFonts w:hint="eastAsia"/>
          <w:sz w:val="30"/>
          <w:szCs w:val="30"/>
        </w:rPr>
        <w:t>第三部分　专用条件</w:t>
      </w:r>
    </w:p>
    <w:p>
      <w:pPr>
        <w:pStyle w:val="18"/>
        <w:keepNext w:val="0"/>
        <w:keepLines w:val="0"/>
        <w:pageBreakBefore w:val="0"/>
        <w:widowControl w:val="0"/>
        <w:kinsoku/>
        <w:wordWrap/>
        <w:overflowPunct/>
        <w:topLinePunct w:val="0"/>
        <w:autoSpaceDE/>
        <w:autoSpaceDN/>
        <w:bidi w:val="0"/>
        <w:adjustRightInd/>
        <w:snapToGrid/>
        <w:spacing w:before="0" w:after="0" w:line="440" w:lineRule="exact"/>
        <w:ind w:firstLine="562" w:firstLineChars="200"/>
        <w:jc w:val="left"/>
        <w:textAlignment w:val="auto"/>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1.词语定义、语言、解释顺序与适用法律</w:t>
      </w:r>
      <w:bookmarkEnd w:id="115"/>
      <w:bookmarkEnd w:id="116"/>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bookmarkStart w:id="117" w:name="_Toc419045101"/>
      <w:bookmarkStart w:id="118" w:name="_Toc422322524"/>
      <w:r>
        <w:rPr>
          <w:rFonts w:hint="eastAsia" w:ascii="仿宋_GB2312" w:hAnsi="仿宋_GB2312" w:eastAsia="仿宋_GB2312" w:cs="仿宋_GB2312"/>
          <w:b w:val="0"/>
          <w:bCs w:val="0"/>
          <w:color w:val="auto"/>
          <w:kern w:val="2"/>
          <w:sz w:val="28"/>
          <w:szCs w:val="28"/>
          <w:lang w:val="en-US" w:eastAsia="zh-CN" w:bidi="ar-SA"/>
        </w:rPr>
        <w:t>1.1 语言</w:t>
      </w:r>
      <w:bookmarkEnd w:id="117"/>
      <w:bookmarkEnd w:id="118"/>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 xml:space="preserve">   本合同文件仅使用中文。</w:t>
      </w:r>
    </w:p>
    <w:p>
      <w:pPr>
        <w:pStyle w:val="15"/>
        <w:keepNext w:val="0"/>
        <w:keepLines w:val="0"/>
        <w:pageBreakBefore w:val="0"/>
        <w:widowControl w:val="0"/>
        <w:kinsoku/>
        <w:wordWrap/>
        <w:overflowPunct/>
        <w:topLinePunct w:val="0"/>
        <w:autoSpaceDE/>
        <w:autoSpaceDN/>
        <w:bidi w:val="0"/>
        <w:adjustRightInd/>
        <w:snapToGrid/>
        <w:spacing w:before="0" w:line="440" w:lineRule="exact"/>
        <w:ind w:firstLine="560" w:firstLineChars="200"/>
        <w:jc w:val="left"/>
        <w:textAlignment w:val="auto"/>
        <w:rPr>
          <w:rFonts w:hint="eastAsia" w:ascii="仿宋_GB2312" w:hAnsi="仿宋_GB2312" w:eastAsia="仿宋_GB2312" w:cs="仿宋_GB2312"/>
          <w:b w:val="0"/>
          <w:bCs w:val="0"/>
          <w:color w:val="auto"/>
          <w:kern w:val="2"/>
          <w:sz w:val="28"/>
          <w:szCs w:val="28"/>
          <w:lang w:val="en-US" w:eastAsia="zh-CN" w:bidi="ar-SA"/>
        </w:rPr>
      </w:pPr>
      <w:bookmarkStart w:id="119" w:name="_Toc422322525"/>
      <w:r>
        <w:rPr>
          <w:rFonts w:hint="eastAsia" w:ascii="仿宋_GB2312" w:hAnsi="仿宋_GB2312" w:eastAsia="仿宋_GB2312" w:cs="仿宋_GB2312"/>
          <w:b w:val="0"/>
          <w:bCs w:val="0"/>
          <w:color w:val="auto"/>
          <w:kern w:val="2"/>
          <w:sz w:val="28"/>
          <w:szCs w:val="28"/>
          <w:lang w:val="en-US" w:eastAsia="zh-CN" w:bidi="ar-SA"/>
        </w:rPr>
        <w:t>1.2合同文件的优先顺序</w:t>
      </w:r>
      <w:bookmarkEnd w:id="119"/>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u w:val="single"/>
          <w:lang w:val="en-US" w:eastAsia="zh-CN" w:bidi="ar-SA"/>
        </w:rPr>
      </w:pPr>
      <w:r>
        <w:rPr>
          <w:rFonts w:hint="eastAsia" w:ascii="仿宋_GB2312" w:hAnsi="仿宋_GB2312" w:eastAsia="仿宋_GB2312" w:cs="仿宋_GB2312"/>
          <w:b w:val="0"/>
          <w:bCs w:val="0"/>
          <w:color w:val="auto"/>
          <w:kern w:val="2"/>
          <w:sz w:val="28"/>
          <w:szCs w:val="28"/>
          <w:lang w:val="en-US" w:eastAsia="zh-CN" w:bidi="ar-SA"/>
        </w:rPr>
        <w:t>本合同文件的解释顺序为：</w:t>
      </w:r>
      <w:r>
        <w:rPr>
          <w:rFonts w:hint="eastAsia" w:ascii="仿宋_GB2312" w:hAnsi="仿宋_GB2312" w:eastAsia="仿宋_GB2312" w:cs="仿宋_GB2312"/>
          <w:b w:val="0"/>
          <w:bCs w:val="0"/>
          <w:color w:val="auto"/>
          <w:kern w:val="2"/>
          <w:sz w:val="28"/>
          <w:szCs w:val="28"/>
          <w:u w:val="single"/>
          <w:lang w:val="en-US" w:eastAsia="zh-CN" w:bidi="ar-SA"/>
        </w:rPr>
        <w:t xml:space="preserve">  按通用条件第1.3条约定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bookmarkStart w:id="120" w:name="_Toc422322526"/>
      <w:bookmarkStart w:id="121" w:name="_Toc419045102"/>
      <w:r>
        <w:rPr>
          <w:rFonts w:hint="eastAsia" w:ascii="仿宋_GB2312" w:hAnsi="仿宋_GB2312" w:eastAsia="仿宋_GB2312" w:cs="仿宋_GB2312"/>
          <w:b w:val="0"/>
          <w:bCs w:val="0"/>
          <w:color w:val="auto"/>
          <w:kern w:val="2"/>
          <w:sz w:val="28"/>
          <w:szCs w:val="28"/>
          <w:lang w:val="en-US" w:eastAsia="zh-CN" w:bidi="ar-SA"/>
        </w:rPr>
        <w:t>1.3适用法律</w:t>
      </w:r>
      <w:bookmarkEnd w:id="120"/>
      <w:bookmarkEnd w:id="121"/>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u w:val="single"/>
          <w:lang w:val="en-US" w:eastAsia="zh-CN" w:bidi="ar-SA"/>
        </w:rPr>
      </w:pPr>
      <w:r>
        <w:rPr>
          <w:rFonts w:hint="eastAsia" w:ascii="仿宋_GB2312" w:hAnsi="仿宋_GB2312" w:eastAsia="仿宋_GB2312" w:cs="仿宋_GB2312"/>
          <w:b w:val="0"/>
          <w:bCs w:val="0"/>
          <w:color w:val="auto"/>
          <w:kern w:val="2"/>
          <w:sz w:val="28"/>
          <w:szCs w:val="28"/>
          <w:lang w:val="en-US" w:eastAsia="zh-CN" w:bidi="ar-SA"/>
        </w:rPr>
        <w:t>本合同适用的其他规范性文件包括:</w:t>
      </w:r>
      <w:r>
        <w:rPr>
          <w:rFonts w:hint="eastAsia" w:ascii="仿宋_GB2312" w:hAnsi="仿宋_GB2312" w:eastAsia="仿宋_GB2312" w:cs="仿宋_GB2312"/>
          <w:b w:val="0"/>
          <w:bCs w:val="0"/>
          <w:color w:val="auto"/>
          <w:kern w:val="2"/>
          <w:sz w:val="28"/>
          <w:szCs w:val="28"/>
          <w:u w:val="single"/>
          <w:lang w:val="en-US" w:eastAsia="zh-CN" w:bidi="ar-SA"/>
        </w:rPr>
        <w:t xml:space="preserve"> 中国建设工程造价管理协会《工程造价咨询业务操作指导规程》、《建设项目施工图预算编审规程》CECA/GC 5-2010、《建设工程工程量清单计价规范》（GB50500-2013）、</w:t>
      </w:r>
      <w:r>
        <w:rPr>
          <w:rFonts w:hint="eastAsia" w:ascii="仿宋_GB2312" w:hAnsi="仿宋_GB2312" w:eastAsia="仿宋_GB2312" w:cs="仿宋_GB2312"/>
          <w:b w:val="0"/>
          <w:bCs w:val="0"/>
          <w:color w:val="000000" w:themeColor="text1"/>
          <w:kern w:val="2"/>
          <w:sz w:val="28"/>
          <w:szCs w:val="28"/>
          <w:u w:val="single"/>
          <w:lang w:val="en-US" w:eastAsia="zh-CN" w:bidi="ar-SA"/>
          <w14:textFill>
            <w14:solidFill>
              <w14:schemeClr w14:val="tx1"/>
            </w14:solidFill>
          </w14:textFill>
        </w:rPr>
        <w:t>2020</w:t>
      </w:r>
      <w:r>
        <w:rPr>
          <w:rFonts w:hint="eastAsia" w:ascii="仿宋_GB2312" w:hAnsi="仿宋_GB2312" w:eastAsia="仿宋_GB2312" w:cs="仿宋_GB2312"/>
          <w:b w:val="0"/>
          <w:bCs w:val="0"/>
          <w:color w:val="auto"/>
          <w:kern w:val="2"/>
          <w:sz w:val="28"/>
          <w:szCs w:val="28"/>
          <w:u w:val="single"/>
          <w:lang w:val="en-US" w:eastAsia="zh-CN" w:bidi="ar-SA"/>
        </w:rPr>
        <w:t>《四川省建设工程工程量清单计价定额》及其配套法规。</w:t>
      </w:r>
    </w:p>
    <w:p>
      <w:pPr>
        <w:pStyle w:val="18"/>
        <w:keepNext w:val="0"/>
        <w:keepLines w:val="0"/>
        <w:pageBreakBefore w:val="0"/>
        <w:widowControl w:val="0"/>
        <w:kinsoku/>
        <w:wordWrap/>
        <w:overflowPunct/>
        <w:topLinePunct w:val="0"/>
        <w:autoSpaceDE/>
        <w:autoSpaceDN/>
        <w:bidi w:val="0"/>
        <w:adjustRightInd/>
        <w:snapToGrid/>
        <w:spacing w:before="0" w:after="0" w:line="440" w:lineRule="exact"/>
        <w:ind w:firstLine="562" w:firstLineChars="200"/>
        <w:jc w:val="left"/>
        <w:textAlignment w:val="auto"/>
        <w:rPr>
          <w:rFonts w:hint="eastAsia" w:ascii="仿宋_GB2312" w:hAnsi="仿宋_GB2312" w:eastAsia="仿宋_GB2312" w:cs="仿宋_GB2312"/>
          <w:b/>
          <w:bCs/>
          <w:color w:val="auto"/>
          <w:kern w:val="2"/>
          <w:sz w:val="28"/>
          <w:szCs w:val="28"/>
          <w:lang w:val="en-US" w:eastAsia="zh-CN" w:bidi="ar-SA"/>
        </w:rPr>
      </w:pPr>
      <w:bookmarkStart w:id="122" w:name="_Toc422322527"/>
      <w:bookmarkStart w:id="123" w:name="_Toc419045103"/>
      <w:r>
        <w:rPr>
          <w:rFonts w:hint="eastAsia" w:ascii="仿宋_GB2312" w:hAnsi="仿宋_GB2312" w:eastAsia="仿宋_GB2312" w:cs="仿宋_GB2312"/>
          <w:b/>
          <w:bCs/>
          <w:color w:val="auto"/>
          <w:kern w:val="2"/>
          <w:sz w:val="28"/>
          <w:szCs w:val="28"/>
          <w:lang w:val="en-US" w:eastAsia="zh-CN" w:bidi="ar-SA"/>
        </w:rPr>
        <w:t>2.委托人的义务</w:t>
      </w:r>
      <w:bookmarkEnd w:id="122"/>
      <w:bookmarkEnd w:id="123"/>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bookmarkStart w:id="124" w:name="_Toc422322528"/>
      <w:bookmarkStart w:id="125" w:name="_Toc419045104"/>
      <w:r>
        <w:rPr>
          <w:rFonts w:hint="eastAsia" w:ascii="仿宋_GB2312" w:hAnsi="仿宋_GB2312" w:eastAsia="仿宋_GB2312" w:cs="仿宋_GB2312"/>
          <w:b w:val="0"/>
          <w:bCs w:val="0"/>
          <w:color w:val="auto"/>
          <w:kern w:val="2"/>
          <w:sz w:val="28"/>
          <w:szCs w:val="28"/>
          <w:lang w:val="en-US" w:eastAsia="zh-CN" w:bidi="ar-SA"/>
        </w:rPr>
        <w:t>2.1提供资料</w:t>
      </w:r>
      <w:bookmarkEnd w:id="124"/>
      <w:bookmarkEnd w:id="125"/>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u w:val="single"/>
          <w:lang w:val="en-US" w:eastAsia="zh-CN" w:bidi="ar-SA"/>
        </w:rPr>
      </w:pPr>
      <w:r>
        <w:rPr>
          <w:rFonts w:hint="eastAsia" w:ascii="仿宋_GB2312" w:hAnsi="仿宋_GB2312" w:eastAsia="仿宋_GB2312" w:cs="仿宋_GB2312"/>
          <w:b w:val="0"/>
          <w:bCs w:val="0"/>
          <w:color w:val="auto"/>
          <w:kern w:val="2"/>
          <w:sz w:val="28"/>
          <w:szCs w:val="28"/>
          <w:lang w:val="en-US" w:eastAsia="zh-CN" w:bidi="ar-SA"/>
        </w:rPr>
        <w:t xml:space="preserve">委托人向咨询人提供与本合同业务有关资料的时间为： </w:t>
      </w:r>
      <w:r>
        <w:rPr>
          <w:rFonts w:hint="eastAsia" w:ascii="仿宋_GB2312" w:hAnsi="仿宋_GB2312" w:eastAsia="仿宋_GB2312" w:cs="仿宋_GB2312"/>
          <w:b w:val="0"/>
          <w:bCs w:val="0"/>
          <w:color w:val="auto"/>
          <w:kern w:val="2"/>
          <w:sz w:val="28"/>
          <w:szCs w:val="28"/>
          <w:u w:val="single"/>
          <w:lang w:val="en-US" w:eastAsia="zh-CN" w:bidi="ar-SA"/>
        </w:rPr>
        <w:t>由委托人确定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bookmarkStart w:id="126" w:name="_Toc422322529"/>
      <w:bookmarkStart w:id="127" w:name="_Toc419045105"/>
      <w:r>
        <w:rPr>
          <w:rFonts w:hint="eastAsia" w:ascii="仿宋_GB2312" w:hAnsi="仿宋_GB2312" w:eastAsia="仿宋_GB2312" w:cs="仿宋_GB2312"/>
          <w:b w:val="0"/>
          <w:bCs w:val="0"/>
          <w:color w:val="auto"/>
          <w:kern w:val="2"/>
          <w:sz w:val="28"/>
          <w:szCs w:val="28"/>
          <w:lang w:val="en-US" w:eastAsia="zh-CN" w:bidi="ar-SA"/>
        </w:rPr>
        <w:t>2.2提供工作条件</w:t>
      </w:r>
      <w:bookmarkEnd w:id="126"/>
      <w:bookmarkEnd w:id="127"/>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2.2.1委托人不向项目咨询人员提供任何房屋及设备。</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bookmarkStart w:id="128" w:name="_Toc422322530"/>
      <w:bookmarkStart w:id="129" w:name="_Toc419045106"/>
      <w:r>
        <w:rPr>
          <w:rFonts w:hint="eastAsia" w:ascii="仿宋_GB2312" w:hAnsi="仿宋_GB2312" w:eastAsia="仿宋_GB2312" w:cs="仿宋_GB2312"/>
          <w:b w:val="0"/>
          <w:bCs w:val="0"/>
          <w:color w:val="auto"/>
          <w:kern w:val="2"/>
          <w:sz w:val="28"/>
          <w:szCs w:val="28"/>
          <w:lang w:val="en-US" w:eastAsia="zh-CN" w:bidi="ar-SA"/>
        </w:rPr>
        <w:t>2.3委托人代表</w:t>
      </w:r>
      <w:bookmarkEnd w:id="128"/>
      <w:bookmarkEnd w:id="129"/>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 xml:space="preserve">    委托人代表为：</w:t>
      </w:r>
      <w:r>
        <w:rPr>
          <w:rFonts w:hint="eastAsia" w:ascii="仿宋_GB2312" w:hAnsi="仿宋_GB2312" w:eastAsia="仿宋_GB2312" w:cs="仿宋_GB2312"/>
          <w:b w:val="0"/>
          <w:bCs w:val="0"/>
          <w:color w:val="auto"/>
          <w:kern w:val="2"/>
          <w:sz w:val="28"/>
          <w:szCs w:val="28"/>
          <w:u w:val="single"/>
          <w:lang w:val="en-US" w:eastAsia="zh-CN" w:bidi="ar-SA"/>
        </w:rPr>
        <w:t xml:space="preserve">          </w:t>
      </w:r>
      <w:r>
        <w:rPr>
          <w:rFonts w:hint="eastAsia" w:ascii="仿宋_GB2312" w:hAnsi="仿宋_GB2312" w:eastAsia="仿宋_GB2312" w:cs="仿宋_GB2312"/>
          <w:b w:val="0"/>
          <w:bCs w:val="0"/>
          <w:color w:val="auto"/>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bookmarkStart w:id="130" w:name="_Toc422322531"/>
      <w:r>
        <w:rPr>
          <w:rFonts w:hint="eastAsia" w:ascii="仿宋_GB2312" w:hAnsi="仿宋_GB2312" w:eastAsia="仿宋_GB2312" w:cs="仿宋_GB2312"/>
          <w:b w:val="0"/>
          <w:bCs w:val="0"/>
          <w:color w:val="auto"/>
          <w:kern w:val="2"/>
          <w:sz w:val="28"/>
          <w:szCs w:val="28"/>
          <w:lang w:val="en-US" w:eastAsia="zh-CN" w:bidi="ar-SA"/>
        </w:rPr>
        <w:t>2.4答复</w:t>
      </w:r>
      <w:bookmarkEnd w:id="130"/>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委托人同意在</w:t>
      </w:r>
      <w:r>
        <w:rPr>
          <w:rFonts w:hint="eastAsia" w:ascii="仿宋_GB2312" w:hAnsi="仿宋_GB2312" w:eastAsia="仿宋_GB2312" w:cs="仿宋_GB2312"/>
          <w:b w:val="0"/>
          <w:bCs w:val="0"/>
          <w:color w:val="auto"/>
          <w:kern w:val="2"/>
          <w:sz w:val="28"/>
          <w:szCs w:val="28"/>
          <w:u w:val="single"/>
          <w:lang w:val="en-US" w:eastAsia="zh-CN" w:bidi="ar-SA"/>
        </w:rPr>
        <w:t xml:space="preserve"> 3 日</w:t>
      </w:r>
      <w:r>
        <w:rPr>
          <w:rFonts w:hint="eastAsia" w:ascii="仿宋_GB2312" w:hAnsi="仿宋_GB2312" w:eastAsia="仿宋_GB2312" w:cs="仿宋_GB2312"/>
          <w:b w:val="0"/>
          <w:bCs w:val="0"/>
          <w:color w:val="auto"/>
          <w:kern w:val="2"/>
          <w:sz w:val="28"/>
          <w:szCs w:val="28"/>
          <w:lang w:val="en-US" w:eastAsia="zh-CN" w:bidi="ar-SA"/>
        </w:rPr>
        <w:t>内，对咨询人书面提交并要求做出决定的事宜给予书面答复。逾期未答复的，视为委托人认可。</w:t>
      </w:r>
    </w:p>
    <w:p>
      <w:pPr>
        <w:pStyle w:val="18"/>
        <w:keepNext w:val="0"/>
        <w:keepLines w:val="0"/>
        <w:pageBreakBefore w:val="0"/>
        <w:widowControl w:val="0"/>
        <w:kinsoku/>
        <w:wordWrap/>
        <w:overflowPunct/>
        <w:topLinePunct w:val="0"/>
        <w:autoSpaceDE/>
        <w:autoSpaceDN/>
        <w:bidi w:val="0"/>
        <w:adjustRightInd/>
        <w:snapToGrid/>
        <w:spacing w:before="0" w:after="0" w:line="440" w:lineRule="exact"/>
        <w:ind w:firstLine="562" w:firstLineChars="200"/>
        <w:jc w:val="left"/>
        <w:textAlignment w:val="auto"/>
        <w:rPr>
          <w:rFonts w:hint="eastAsia" w:ascii="仿宋_GB2312" w:hAnsi="仿宋_GB2312" w:eastAsia="仿宋_GB2312" w:cs="仿宋_GB2312"/>
          <w:b/>
          <w:bCs/>
          <w:color w:val="auto"/>
          <w:kern w:val="2"/>
          <w:sz w:val="28"/>
          <w:szCs w:val="28"/>
          <w:lang w:val="en-US" w:eastAsia="zh-CN" w:bidi="ar-SA"/>
        </w:rPr>
      </w:pPr>
      <w:bookmarkStart w:id="131" w:name="_Toc422322532"/>
      <w:bookmarkStart w:id="132" w:name="_Toc419045107"/>
      <w:r>
        <w:rPr>
          <w:rFonts w:hint="eastAsia" w:ascii="仿宋_GB2312" w:hAnsi="仿宋_GB2312" w:eastAsia="仿宋_GB2312" w:cs="仿宋_GB2312"/>
          <w:b/>
          <w:bCs/>
          <w:color w:val="auto"/>
          <w:kern w:val="2"/>
          <w:sz w:val="28"/>
          <w:szCs w:val="28"/>
          <w:lang w:val="en-US" w:eastAsia="zh-CN" w:bidi="ar-SA"/>
        </w:rPr>
        <w:t>3.咨询人的义务</w:t>
      </w:r>
      <w:bookmarkEnd w:id="131"/>
      <w:bookmarkEnd w:id="132"/>
    </w:p>
    <w:p>
      <w:pPr>
        <w:pStyle w:val="15"/>
        <w:keepNext w:val="0"/>
        <w:keepLines w:val="0"/>
        <w:pageBreakBefore w:val="0"/>
        <w:widowControl w:val="0"/>
        <w:kinsoku/>
        <w:wordWrap/>
        <w:overflowPunct/>
        <w:topLinePunct w:val="0"/>
        <w:autoSpaceDE/>
        <w:autoSpaceDN/>
        <w:bidi w:val="0"/>
        <w:adjustRightInd/>
        <w:snapToGrid/>
        <w:spacing w:before="0" w:line="440" w:lineRule="exact"/>
        <w:ind w:firstLine="560" w:firstLineChars="200"/>
        <w:jc w:val="left"/>
        <w:textAlignment w:val="auto"/>
        <w:rPr>
          <w:rFonts w:hint="eastAsia" w:ascii="仿宋_GB2312" w:hAnsi="仿宋_GB2312" w:eastAsia="仿宋_GB2312" w:cs="仿宋_GB2312"/>
          <w:b w:val="0"/>
          <w:bCs w:val="0"/>
          <w:color w:val="auto"/>
          <w:kern w:val="2"/>
          <w:sz w:val="28"/>
          <w:szCs w:val="28"/>
          <w:lang w:val="en-US" w:eastAsia="zh-CN" w:bidi="ar-SA"/>
        </w:rPr>
      </w:pPr>
      <w:bookmarkStart w:id="133" w:name="_Toc422322533"/>
      <w:bookmarkStart w:id="134" w:name="_Toc419045109"/>
      <w:r>
        <w:rPr>
          <w:rFonts w:hint="eastAsia" w:ascii="仿宋_GB2312" w:hAnsi="仿宋_GB2312" w:eastAsia="仿宋_GB2312" w:cs="仿宋_GB2312"/>
          <w:b w:val="0"/>
          <w:bCs w:val="0"/>
          <w:color w:val="auto"/>
          <w:kern w:val="2"/>
          <w:sz w:val="28"/>
          <w:szCs w:val="28"/>
          <w:lang w:val="en-US" w:eastAsia="zh-CN" w:bidi="ar-SA"/>
        </w:rPr>
        <w:t>3.1项目咨询团队及人员</w:t>
      </w:r>
      <w:bookmarkEnd w:id="133"/>
      <w:bookmarkEnd w:id="134"/>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 xml:space="preserve">3.1.1项目咨询团队的主要人员应具有 </w:t>
      </w:r>
      <w:r>
        <w:rPr>
          <w:rFonts w:hint="eastAsia" w:ascii="仿宋_GB2312" w:hAnsi="仿宋_GB2312" w:eastAsia="仿宋_GB2312" w:cs="仿宋_GB2312"/>
          <w:b w:val="0"/>
          <w:bCs w:val="0"/>
          <w:color w:val="auto"/>
          <w:kern w:val="2"/>
          <w:sz w:val="28"/>
          <w:szCs w:val="28"/>
          <w:u w:val="single"/>
          <w:lang w:val="en-US" w:eastAsia="zh-CN" w:bidi="ar-SA"/>
        </w:rPr>
        <w:t>全国造价工程师</w:t>
      </w:r>
      <w:r>
        <w:rPr>
          <w:rFonts w:hint="eastAsia" w:ascii="仿宋_GB2312" w:hAnsi="仿宋_GB2312" w:eastAsia="仿宋_GB2312" w:cs="仿宋_GB2312"/>
          <w:b w:val="0"/>
          <w:bCs w:val="0"/>
          <w:color w:val="auto"/>
          <w:kern w:val="2"/>
          <w:sz w:val="28"/>
          <w:szCs w:val="28"/>
          <w:lang w:val="en-US" w:eastAsia="zh-CN" w:bidi="ar-SA"/>
        </w:rPr>
        <w:t xml:space="preserve"> 资格条件，团队人员的数量不少于 </w:t>
      </w:r>
      <w:r>
        <w:rPr>
          <w:rFonts w:hint="eastAsia" w:ascii="仿宋_GB2312" w:hAnsi="仿宋_GB2312" w:eastAsia="仿宋_GB2312" w:cs="仿宋_GB2312"/>
          <w:b w:val="0"/>
          <w:bCs w:val="0"/>
          <w:color w:val="auto"/>
          <w:kern w:val="2"/>
          <w:sz w:val="28"/>
          <w:szCs w:val="28"/>
          <w:u w:val="single"/>
          <w:lang w:val="en-US" w:eastAsia="zh-CN" w:bidi="ar-SA"/>
        </w:rPr>
        <w:t xml:space="preserve"> 3 </w:t>
      </w:r>
      <w:r>
        <w:rPr>
          <w:rFonts w:hint="eastAsia" w:ascii="仿宋_GB2312" w:hAnsi="仿宋_GB2312" w:eastAsia="仿宋_GB2312" w:cs="仿宋_GB2312"/>
          <w:b w:val="0"/>
          <w:bCs w:val="0"/>
          <w:color w:val="auto"/>
          <w:kern w:val="2"/>
          <w:sz w:val="28"/>
          <w:szCs w:val="28"/>
          <w:lang w:val="en-US" w:eastAsia="zh-CN" w:bidi="ar-SA"/>
        </w:rPr>
        <w:t xml:space="preserve"> 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3.1.2项目负责人为：</w:t>
      </w:r>
      <w:r>
        <w:rPr>
          <w:rFonts w:hint="eastAsia" w:ascii="仿宋_GB2312" w:hAnsi="仿宋_GB2312" w:eastAsia="仿宋_GB2312" w:cs="仿宋_GB2312"/>
          <w:b w:val="0"/>
          <w:bCs w:val="0"/>
          <w:color w:val="auto"/>
          <w:kern w:val="2"/>
          <w:sz w:val="28"/>
          <w:szCs w:val="28"/>
          <w:u w:val="single"/>
          <w:lang w:val="en-US" w:eastAsia="zh-CN" w:bidi="ar-SA"/>
        </w:rPr>
        <w:t xml:space="preserve">        </w:t>
      </w:r>
      <w:r>
        <w:rPr>
          <w:rFonts w:hint="eastAsia" w:ascii="仿宋_GB2312" w:hAnsi="仿宋_GB2312" w:eastAsia="仿宋_GB2312" w:cs="仿宋_GB2312"/>
          <w:b w:val="0"/>
          <w:bCs w:val="0"/>
          <w:color w:val="auto"/>
          <w:kern w:val="2"/>
          <w:sz w:val="28"/>
          <w:szCs w:val="28"/>
          <w:lang w:val="en-US" w:eastAsia="zh-CN" w:bidi="ar-SA"/>
        </w:rPr>
        <w:t>，项目负责人为履行本合同的权限为：</w:t>
      </w:r>
      <w:r>
        <w:rPr>
          <w:rFonts w:hint="eastAsia" w:ascii="仿宋_GB2312" w:hAnsi="仿宋_GB2312" w:eastAsia="仿宋_GB2312" w:cs="仿宋_GB2312"/>
          <w:b w:val="0"/>
          <w:bCs w:val="0"/>
          <w:color w:val="auto"/>
          <w:kern w:val="2"/>
          <w:sz w:val="28"/>
          <w:szCs w:val="28"/>
          <w:u w:val="single"/>
          <w:lang w:val="en-US" w:eastAsia="zh-CN" w:bidi="ar-SA"/>
        </w:rPr>
        <w:t xml:space="preserve">_竣工结算的审核  </w:t>
      </w:r>
      <w:r>
        <w:rPr>
          <w:rFonts w:hint="eastAsia" w:ascii="仿宋_GB2312" w:hAnsi="仿宋_GB2312" w:eastAsia="仿宋_GB2312" w:cs="仿宋_GB2312"/>
          <w:b w:val="0"/>
          <w:bCs w:val="0"/>
          <w:color w:val="auto"/>
          <w:kern w:val="2"/>
          <w:sz w:val="28"/>
          <w:szCs w:val="28"/>
          <w:lang w:val="en-US" w:eastAsia="zh-CN" w:bidi="ar-SA"/>
        </w:rPr>
        <w:t>。</w:t>
      </w:r>
    </w:p>
    <w:p>
      <w:pPr>
        <w:pStyle w:val="55"/>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b w:val="0"/>
          <w:bCs w:val="0"/>
          <w:color w:val="auto"/>
          <w:kern w:val="2"/>
          <w:sz w:val="28"/>
          <w:szCs w:val="28"/>
          <w:u w:val="single"/>
          <w:lang w:val="en-US" w:eastAsia="zh-CN" w:bidi="ar-SA"/>
        </w:rPr>
      </w:pPr>
      <w:r>
        <w:rPr>
          <w:rFonts w:hint="eastAsia" w:ascii="仿宋_GB2312" w:hAnsi="仿宋_GB2312" w:eastAsia="仿宋_GB2312" w:cs="仿宋_GB2312"/>
          <w:b w:val="0"/>
          <w:bCs w:val="0"/>
          <w:color w:val="auto"/>
          <w:kern w:val="2"/>
          <w:sz w:val="28"/>
          <w:szCs w:val="28"/>
          <w:lang w:val="en-US" w:eastAsia="zh-CN" w:bidi="ar-SA"/>
        </w:rPr>
        <w:t>3.1.3咨询人更换项目咨询团队其他咨询人员的约定：</w:t>
      </w:r>
      <w:r>
        <w:rPr>
          <w:rFonts w:hint="eastAsia" w:ascii="仿宋_GB2312" w:hAnsi="仿宋_GB2312" w:eastAsia="仿宋_GB2312" w:cs="仿宋_GB2312"/>
          <w:b w:val="0"/>
          <w:bCs w:val="0"/>
          <w:color w:val="auto"/>
          <w:kern w:val="2"/>
          <w:sz w:val="28"/>
          <w:szCs w:val="28"/>
          <w:u w:val="single"/>
          <w:lang w:val="en-US" w:eastAsia="zh-CN" w:bidi="ar-SA"/>
        </w:rPr>
        <w:t>按通用条件第3.1.3条约定。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u w:val="single"/>
          <w:lang w:val="en-US" w:eastAsia="zh-CN" w:bidi="ar-SA"/>
        </w:rPr>
      </w:pPr>
      <w:r>
        <w:rPr>
          <w:rFonts w:hint="eastAsia" w:ascii="仿宋_GB2312" w:hAnsi="仿宋_GB2312" w:eastAsia="仿宋_GB2312" w:cs="仿宋_GB2312"/>
          <w:b w:val="0"/>
          <w:bCs w:val="0"/>
          <w:color w:val="auto"/>
          <w:kern w:val="2"/>
          <w:sz w:val="28"/>
          <w:szCs w:val="28"/>
          <w:lang w:val="en-US" w:eastAsia="zh-CN" w:bidi="ar-SA"/>
        </w:rPr>
        <w:t>3.1.4委托人要求更换咨询人员的情形还包括：</w:t>
      </w:r>
      <w:r>
        <w:rPr>
          <w:rFonts w:hint="eastAsia" w:ascii="仿宋_GB2312" w:hAnsi="仿宋_GB2312" w:eastAsia="仿宋_GB2312" w:cs="仿宋_GB2312"/>
          <w:b w:val="0"/>
          <w:bCs w:val="0"/>
          <w:color w:val="auto"/>
          <w:kern w:val="2"/>
          <w:sz w:val="28"/>
          <w:szCs w:val="28"/>
          <w:u w:val="single"/>
          <w:lang w:val="en-US" w:eastAsia="zh-CN" w:bidi="ar-SA"/>
        </w:rPr>
        <w:t>按通用条件第3.1.4条约定。</w:t>
      </w:r>
    </w:p>
    <w:p>
      <w:pPr>
        <w:pStyle w:val="15"/>
        <w:keepNext w:val="0"/>
        <w:keepLines w:val="0"/>
        <w:pageBreakBefore w:val="0"/>
        <w:widowControl w:val="0"/>
        <w:kinsoku/>
        <w:wordWrap/>
        <w:overflowPunct/>
        <w:topLinePunct w:val="0"/>
        <w:autoSpaceDE/>
        <w:autoSpaceDN/>
        <w:bidi w:val="0"/>
        <w:adjustRightInd/>
        <w:snapToGrid/>
        <w:spacing w:before="0" w:line="440" w:lineRule="exact"/>
        <w:ind w:firstLine="560" w:firstLineChars="200"/>
        <w:jc w:val="left"/>
        <w:textAlignment w:val="auto"/>
        <w:rPr>
          <w:rFonts w:hint="eastAsia" w:ascii="仿宋_GB2312" w:hAnsi="仿宋_GB2312" w:eastAsia="仿宋_GB2312" w:cs="仿宋_GB2312"/>
          <w:b w:val="0"/>
          <w:bCs w:val="0"/>
          <w:color w:val="auto"/>
          <w:kern w:val="2"/>
          <w:sz w:val="28"/>
          <w:szCs w:val="28"/>
          <w:lang w:val="en-US" w:eastAsia="zh-CN" w:bidi="ar-SA"/>
        </w:rPr>
      </w:pPr>
      <w:bookmarkStart w:id="135" w:name="_Toc419045110"/>
      <w:bookmarkStart w:id="136" w:name="_Toc422322534"/>
      <w:r>
        <w:rPr>
          <w:rFonts w:hint="eastAsia" w:ascii="仿宋_GB2312" w:hAnsi="仿宋_GB2312" w:eastAsia="仿宋_GB2312" w:cs="仿宋_GB2312"/>
          <w:b w:val="0"/>
          <w:bCs w:val="0"/>
          <w:color w:val="auto"/>
          <w:kern w:val="2"/>
          <w:sz w:val="28"/>
          <w:szCs w:val="28"/>
          <w:lang w:val="en-US" w:eastAsia="zh-CN" w:bidi="ar-SA"/>
        </w:rPr>
        <w:t>3.2咨询人的工作要求</w:t>
      </w:r>
      <w:bookmarkEnd w:id="135"/>
      <w:bookmarkEnd w:id="136"/>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u w:val="single"/>
          <w:lang w:val="en-US" w:eastAsia="zh-CN" w:bidi="ar-SA"/>
        </w:rPr>
      </w:pPr>
      <w:r>
        <w:rPr>
          <w:rFonts w:hint="eastAsia" w:ascii="仿宋_GB2312" w:hAnsi="仿宋_GB2312" w:eastAsia="仿宋_GB2312" w:cs="仿宋_GB2312"/>
          <w:b w:val="0"/>
          <w:bCs w:val="0"/>
          <w:color w:val="auto"/>
          <w:kern w:val="2"/>
          <w:sz w:val="28"/>
          <w:szCs w:val="28"/>
          <w:lang w:val="en-US" w:eastAsia="zh-CN" w:bidi="ar-SA"/>
        </w:rPr>
        <w:t>3.2.1咨询人向委托人提供有关资料的时间：</w:t>
      </w:r>
      <w:r>
        <w:rPr>
          <w:rFonts w:hint="eastAsia" w:ascii="仿宋_GB2312" w:hAnsi="仿宋_GB2312" w:eastAsia="仿宋_GB2312" w:cs="仿宋_GB2312"/>
          <w:b w:val="0"/>
          <w:bCs w:val="0"/>
          <w:color w:val="auto"/>
          <w:kern w:val="2"/>
          <w:sz w:val="28"/>
          <w:szCs w:val="28"/>
          <w:u w:val="single"/>
          <w:lang w:val="en-US" w:eastAsia="zh-CN" w:bidi="ar-SA"/>
        </w:rPr>
        <w:t xml:space="preserve">        工作日。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3.2.2咨询人向委托人提供咨询成果文件的清单详见附录，成果文件的名称、组成、时间、份数及质量标准除满足相关规范要求外，还应满足委托人的以下要求：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u w:val="single"/>
          <w:lang w:val="en-US" w:eastAsia="zh-CN" w:bidi="ar-SA"/>
        </w:rPr>
      </w:pPr>
      <w:r>
        <w:rPr>
          <w:rFonts w:hint="eastAsia" w:ascii="仿宋_GB2312" w:hAnsi="仿宋_GB2312" w:eastAsia="仿宋_GB2312" w:cs="仿宋_GB2312"/>
          <w:b w:val="0"/>
          <w:bCs w:val="0"/>
          <w:color w:val="auto"/>
          <w:kern w:val="2"/>
          <w:sz w:val="28"/>
          <w:szCs w:val="28"/>
          <w:u w:val="single"/>
          <w:lang w:val="en-US" w:eastAsia="zh-CN" w:bidi="ar-SA"/>
        </w:rPr>
        <w:t>3.2.2.1咨询人必须严格按照委托人要求时间提供成果文件；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u w:val="single"/>
          <w:lang w:val="en-US" w:eastAsia="zh-CN" w:bidi="ar-SA"/>
        </w:rPr>
      </w:pPr>
      <w:r>
        <w:rPr>
          <w:rFonts w:hint="eastAsia" w:ascii="仿宋_GB2312" w:hAnsi="仿宋_GB2312" w:eastAsia="仿宋_GB2312" w:cs="仿宋_GB2312"/>
          <w:b w:val="0"/>
          <w:bCs w:val="0"/>
          <w:color w:val="auto"/>
          <w:kern w:val="2"/>
          <w:sz w:val="28"/>
          <w:szCs w:val="28"/>
          <w:u w:val="single"/>
          <w:lang w:val="en-US" w:eastAsia="zh-CN" w:bidi="ar-SA"/>
        </w:rPr>
        <w:t>3.2.2.2咨询人必须严格按照附录中要求提供成果文件；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u w:val="single"/>
          <w:lang w:val="en-US" w:eastAsia="zh-CN" w:bidi="ar-SA"/>
        </w:rPr>
      </w:pPr>
      <w:r>
        <w:rPr>
          <w:rFonts w:hint="eastAsia" w:ascii="仿宋_GB2312" w:hAnsi="仿宋_GB2312" w:eastAsia="仿宋_GB2312" w:cs="仿宋_GB2312"/>
          <w:b w:val="0"/>
          <w:bCs w:val="0"/>
          <w:color w:val="auto"/>
          <w:kern w:val="2"/>
          <w:sz w:val="28"/>
          <w:szCs w:val="28"/>
          <w:u w:val="single"/>
          <w:lang w:val="en-US" w:eastAsia="zh-CN" w:bidi="ar-SA"/>
        </w:rPr>
        <w:t>3.2.2.3咨询人提交的成果文件总金额与正式审计金额差额必须 ＜20%；</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u w:val="single"/>
          <w:lang w:val="en-US" w:eastAsia="zh-CN" w:bidi="ar-SA"/>
        </w:rPr>
        <w:t>委托人在政府审计完成后，根据审核结果复核咨询人提交成果文件，若成果文件总额与正式审计金额偏差≥20%且非委托人原因造成，视为咨询人提交成果文件不合格；</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3.2.3咨询人向委托人提供咨询成果文件不合格或不能满足</w:t>
      </w:r>
      <w:r>
        <w:rPr>
          <w:rFonts w:hint="eastAsia" w:ascii="仿宋_GB2312" w:hAnsi="仿宋_GB2312" w:eastAsia="仿宋_GB2312" w:cs="仿宋_GB2312"/>
          <w:b w:val="0"/>
          <w:bCs w:val="0"/>
          <w:color w:val="auto"/>
          <w:kern w:val="2"/>
          <w:sz w:val="28"/>
          <w:szCs w:val="28"/>
          <w:u w:val="single"/>
          <w:lang w:val="en-US" w:eastAsia="zh-CN" w:bidi="ar-SA"/>
        </w:rPr>
        <w:t>专用条款3.2.2条款</w:t>
      </w:r>
      <w:r>
        <w:rPr>
          <w:rFonts w:hint="eastAsia" w:ascii="仿宋_GB2312" w:hAnsi="仿宋_GB2312" w:eastAsia="仿宋_GB2312" w:cs="仿宋_GB2312"/>
          <w:b w:val="0"/>
          <w:bCs w:val="0"/>
          <w:color w:val="auto"/>
          <w:kern w:val="2"/>
          <w:sz w:val="28"/>
          <w:szCs w:val="28"/>
          <w:lang w:val="en-US" w:eastAsia="zh-CN" w:bidi="ar-SA"/>
        </w:rPr>
        <w:t>约定的相应要求，视为咨询人违约，委托人有权对咨询人做以下处罚。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u w:val="single"/>
          <w:lang w:val="en-US" w:eastAsia="zh-CN" w:bidi="ar-SA"/>
        </w:rPr>
      </w:pPr>
      <w:r>
        <w:rPr>
          <w:rFonts w:hint="eastAsia" w:ascii="仿宋_GB2312" w:hAnsi="仿宋_GB2312" w:eastAsia="仿宋_GB2312" w:cs="仿宋_GB2312"/>
          <w:b w:val="0"/>
          <w:bCs w:val="0"/>
          <w:color w:val="auto"/>
          <w:kern w:val="2"/>
          <w:sz w:val="28"/>
          <w:szCs w:val="28"/>
          <w:u w:val="single"/>
          <w:lang w:val="en-US" w:eastAsia="zh-CN" w:bidi="ar-SA"/>
        </w:rPr>
        <w:t>3.2.3.1委托人有权直接解除本协议，协议已发生酬金由咨询人自己承担，对委托人造成的任何经济损失，由咨询人承担；</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u w:val="single"/>
          <w:lang w:val="en-US" w:eastAsia="zh-CN" w:bidi="ar-SA"/>
        </w:rPr>
      </w:pPr>
      <w:r>
        <w:rPr>
          <w:rFonts w:hint="eastAsia" w:ascii="仿宋_GB2312" w:hAnsi="仿宋_GB2312" w:eastAsia="仿宋_GB2312" w:cs="仿宋_GB2312"/>
          <w:b w:val="0"/>
          <w:bCs w:val="0"/>
          <w:color w:val="auto"/>
          <w:kern w:val="2"/>
          <w:sz w:val="28"/>
          <w:szCs w:val="28"/>
          <w:u w:val="single"/>
          <w:lang w:val="en-US" w:eastAsia="zh-CN" w:bidi="ar-SA"/>
        </w:rPr>
        <w:t>3.2.3.2咨询人未按照委托人时间要求提交成果文件的，每超过一天则处咨询人咨询酬金的1%，逾期时间最多不超过5个工作日，超过规定时限则委托人有权直接解除本协议；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u w:val="single"/>
          <w:lang w:val="en-US" w:eastAsia="zh-CN" w:bidi="ar-SA"/>
        </w:rPr>
      </w:pPr>
      <w:r>
        <w:rPr>
          <w:rFonts w:hint="eastAsia" w:ascii="仿宋_GB2312" w:hAnsi="仿宋_GB2312" w:eastAsia="仿宋_GB2312" w:cs="仿宋_GB2312"/>
          <w:b w:val="0"/>
          <w:bCs w:val="0"/>
          <w:color w:val="auto"/>
          <w:kern w:val="2"/>
          <w:sz w:val="28"/>
          <w:szCs w:val="28"/>
          <w:u w:val="single"/>
          <w:lang w:val="en-US" w:eastAsia="zh-CN" w:bidi="ar-SA"/>
        </w:rPr>
        <w:t>3.2.3.3咨询人提交的成果文件总金额与正式审计金额误差：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u w:val="single"/>
          <w:lang w:val="en-US" w:eastAsia="zh-CN" w:bidi="ar-SA"/>
        </w:rPr>
      </w:pPr>
      <w:r>
        <w:rPr>
          <w:rFonts w:hint="eastAsia" w:ascii="仿宋_GB2312" w:hAnsi="仿宋_GB2312" w:eastAsia="仿宋_GB2312" w:cs="仿宋_GB2312"/>
          <w:b w:val="0"/>
          <w:bCs w:val="0"/>
          <w:color w:val="auto"/>
          <w:kern w:val="2"/>
          <w:sz w:val="28"/>
          <w:szCs w:val="28"/>
          <w:u w:val="single"/>
          <w:lang w:val="en-US" w:eastAsia="zh-CN" w:bidi="ar-SA"/>
        </w:rPr>
        <w:t>若审计误差超过5%未超过10%（不含5%），处结算审核咨询人酬金10%的违约金；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u w:val="single"/>
          <w:lang w:val="en-US" w:eastAsia="zh-CN" w:bidi="ar-SA"/>
        </w:rPr>
      </w:pPr>
      <w:r>
        <w:rPr>
          <w:rFonts w:hint="eastAsia" w:ascii="仿宋_GB2312" w:hAnsi="仿宋_GB2312" w:eastAsia="仿宋_GB2312" w:cs="仿宋_GB2312"/>
          <w:b w:val="0"/>
          <w:bCs w:val="0"/>
          <w:color w:val="auto"/>
          <w:kern w:val="2"/>
          <w:sz w:val="28"/>
          <w:szCs w:val="28"/>
          <w:u w:val="single"/>
          <w:lang w:val="en-US" w:eastAsia="zh-CN" w:bidi="ar-SA"/>
        </w:rPr>
        <w:t>若审计误差超过10%未超过15%（含10%），处结算审核咨询人酬金15%的违约金；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u w:val="single"/>
          <w:lang w:val="en-US" w:eastAsia="zh-CN" w:bidi="ar-SA"/>
        </w:rPr>
      </w:pPr>
      <w:r>
        <w:rPr>
          <w:rFonts w:hint="eastAsia" w:ascii="仿宋_GB2312" w:hAnsi="仿宋_GB2312" w:eastAsia="仿宋_GB2312" w:cs="仿宋_GB2312"/>
          <w:b w:val="0"/>
          <w:bCs w:val="0"/>
          <w:color w:val="auto"/>
          <w:kern w:val="2"/>
          <w:sz w:val="28"/>
          <w:szCs w:val="28"/>
          <w:u w:val="single"/>
          <w:lang w:val="en-US" w:eastAsia="zh-CN" w:bidi="ar-SA"/>
        </w:rPr>
        <w:t>若审计误差超过15%未超过20%（含15%），处结算审核咨询人酬金30%的违约金；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u w:val="single"/>
          <w:lang w:val="en-US" w:eastAsia="zh-CN" w:bidi="ar-SA"/>
        </w:rPr>
      </w:pPr>
      <w:r>
        <w:rPr>
          <w:rFonts w:hint="eastAsia" w:ascii="仿宋_GB2312" w:hAnsi="仿宋_GB2312" w:eastAsia="仿宋_GB2312" w:cs="仿宋_GB2312"/>
          <w:b w:val="0"/>
          <w:bCs w:val="0"/>
          <w:color w:val="auto"/>
          <w:kern w:val="2"/>
          <w:sz w:val="28"/>
          <w:szCs w:val="28"/>
          <w:u w:val="single"/>
          <w:lang w:val="en-US" w:eastAsia="zh-CN" w:bidi="ar-SA"/>
        </w:rPr>
        <w:t>若审计误差超过20%（含20%），处结算审核咨询人酬金100%的违约金；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u w:val="single"/>
          <w:lang w:val="en-US" w:eastAsia="zh-CN" w:bidi="ar-SA"/>
        </w:rPr>
      </w:pPr>
      <w:r>
        <w:rPr>
          <w:rFonts w:hint="eastAsia" w:ascii="仿宋_GB2312" w:hAnsi="仿宋_GB2312" w:eastAsia="仿宋_GB2312" w:cs="仿宋_GB2312"/>
          <w:b w:val="0"/>
          <w:bCs w:val="0"/>
          <w:color w:val="auto"/>
          <w:kern w:val="2"/>
          <w:sz w:val="28"/>
          <w:szCs w:val="28"/>
          <w:u w:val="single"/>
          <w:lang w:val="en-US" w:eastAsia="zh-CN" w:bidi="ar-SA"/>
        </w:rPr>
        <w:t>咨询人在完成全部咨询工作后，由委托人参照以上条款对咨询人提交成果进行评定，非咨询人主观因素或委托人原因造成的误差及错误，不作为认定咨询结果是否合格的原因。所有处咨询人的违约金在合同结算付款时执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3.2.4咨询人应在收到委托人以书面形式提出的建议或者异议后</w:t>
      </w:r>
      <w:r>
        <w:rPr>
          <w:rFonts w:hint="eastAsia" w:ascii="仿宋_GB2312" w:hAnsi="仿宋_GB2312" w:eastAsia="仿宋_GB2312" w:cs="仿宋_GB2312"/>
          <w:b w:val="0"/>
          <w:bCs w:val="0"/>
          <w:color w:val="auto"/>
          <w:kern w:val="2"/>
          <w:sz w:val="28"/>
          <w:szCs w:val="28"/>
          <w:u w:val="single"/>
          <w:lang w:val="en-US" w:eastAsia="zh-CN" w:bidi="ar-SA"/>
        </w:rPr>
        <w:t xml:space="preserve">  3  </w:t>
      </w:r>
      <w:r>
        <w:rPr>
          <w:rFonts w:hint="eastAsia" w:ascii="仿宋_GB2312" w:hAnsi="仿宋_GB2312" w:eastAsia="仿宋_GB2312" w:cs="仿宋_GB2312"/>
          <w:b w:val="0"/>
          <w:bCs w:val="0"/>
          <w:color w:val="auto"/>
          <w:kern w:val="2"/>
          <w:sz w:val="28"/>
          <w:szCs w:val="28"/>
          <w:lang w:val="en-US" w:eastAsia="zh-CN" w:bidi="ar-SA"/>
        </w:rPr>
        <w:t>日内给予书面答复。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bookmarkStart w:id="137" w:name="_Toc422322535"/>
      <w:bookmarkStart w:id="138" w:name="_Toc419045111"/>
      <w:r>
        <w:rPr>
          <w:rFonts w:hint="eastAsia" w:ascii="仿宋_GB2312" w:hAnsi="仿宋_GB2312" w:eastAsia="仿宋_GB2312" w:cs="仿宋_GB2312"/>
          <w:b w:val="0"/>
          <w:bCs w:val="0"/>
          <w:color w:val="auto"/>
          <w:kern w:val="2"/>
          <w:sz w:val="28"/>
          <w:szCs w:val="28"/>
          <w:lang w:val="en-US" w:eastAsia="zh-CN" w:bidi="ar-SA"/>
        </w:rPr>
        <w:t>3.3咨询人的工作依据</w:t>
      </w:r>
      <w:bookmarkEnd w:id="137"/>
      <w:bookmarkEnd w:id="138"/>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u w:val="single"/>
          <w:lang w:val="en-US" w:eastAsia="zh-CN" w:bidi="ar-SA"/>
        </w:rPr>
      </w:pPr>
      <w:r>
        <w:rPr>
          <w:rFonts w:hint="eastAsia" w:ascii="仿宋_GB2312" w:hAnsi="仿宋_GB2312" w:eastAsia="仿宋_GB2312" w:cs="仿宋_GB2312"/>
          <w:b w:val="0"/>
          <w:bCs w:val="0"/>
          <w:color w:val="auto"/>
          <w:kern w:val="2"/>
          <w:sz w:val="28"/>
          <w:szCs w:val="28"/>
          <w:lang w:val="en-US" w:eastAsia="zh-CN" w:bidi="ar-SA"/>
        </w:rPr>
        <w:t>经双方协商，本合同约定的造价咨询服务适用的技术标准、规范、定额等工作依据为：</w:t>
      </w:r>
      <w:r>
        <w:rPr>
          <w:rFonts w:hint="eastAsia" w:ascii="仿宋_GB2312" w:hAnsi="仿宋_GB2312" w:eastAsia="仿宋_GB2312" w:cs="仿宋_GB2312"/>
          <w:b w:val="0"/>
          <w:bCs w:val="0"/>
          <w:color w:val="auto"/>
          <w:kern w:val="2"/>
          <w:sz w:val="28"/>
          <w:szCs w:val="28"/>
          <w:u w:val="single"/>
          <w:lang w:val="en-US" w:eastAsia="zh-CN" w:bidi="ar-SA"/>
        </w:rPr>
        <w:t>《建设工程工程量清单计价规范》（GB50500-2013）、2022《四川省建设工程工程量清单计价定额》及其配套法规。</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_GB2312" w:hAnsi="仿宋_GB2312" w:eastAsia="仿宋_GB2312" w:cs="仿宋_GB2312"/>
          <w:b/>
          <w:bCs/>
          <w:color w:val="auto"/>
          <w:kern w:val="2"/>
          <w:sz w:val="28"/>
          <w:szCs w:val="28"/>
          <w:lang w:val="en-US" w:eastAsia="zh-CN" w:bidi="ar-SA"/>
        </w:rPr>
      </w:pPr>
      <w:bookmarkStart w:id="139" w:name="_Toc419045113"/>
      <w:bookmarkStart w:id="140" w:name="_Toc422322537"/>
      <w:r>
        <w:rPr>
          <w:rFonts w:hint="eastAsia" w:ascii="仿宋_GB2312" w:hAnsi="仿宋_GB2312" w:eastAsia="仿宋_GB2312" w:cs="仿宋_GB2312"/>
          <w:b/>
          <w:bCs/>
          <w:color w:val="auto"/>
          <w:kern w:val="2"/>
          <w:sz w:val="28"/>
          <w:szCs w:val="28"/>
          <w:lang w:val="en-US" w:eastAsia="zh-CN" w:bidi="ar-SA"/>
        </w:rPr>
        <w:t>4. 违约责任</w:t>
      </w:r>
      <w:bookmarkEnd w:id="139"/>
      <w:bookmarkEnd w:id="140"/>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bookmarkStart w:id="141" w:name="_Toc422322539"/>
      <w:bookmarkStart w:id="142" w:name="_Toc419045114"/>
      <w:r>
        <w:rPr>
          <w:rFonts w:hint="eastAsia" w:ascii="仿宋_GB2312" w:hAnsi="仿宋_GB2312" w:eastAsia="仿宋_GB2312" w:cs="仿宋_GB2312"/>
          <w:b w:val="0"/>
          <w:bCs w:val="0"/>
          <w:color w:val="auto"/>
          <w:kern w:val="2"/>
          <w:sz w:val="28"/>
          <w:szCs w:val="28"/>
          <w:lang w:val="en-US" w:eastAsia="zh-CN" w:bidi="ar-SA"/>
        </w:rPr>
        <w:t>4.1咨询人的违约责任</w:t>
      </w:r>
      <w:bookmarkEnd w:id="141"/>
    </w:p>
    <w:bookmarkEnd w:id="142"/>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u w:val="single"/>
          <w:lang w:val="en-US" w:eastAsia="zh-CN" w:bidi="ar-SA"/>
        </w:rPr>
      </w:pPr>
      <w:r>
        <w:rPr>
          <w:rFonts w:hint="eastAsia" w:ascii="仿宋_GB2312" w:hAnsi="仿宋_GB2312" w:eastAsia="仿宋_GB2312" w:cs="仿宋_GB2312"/>
          <w:b w:val="0"/>
          <w:bCs w:val="0"/>
          <w:color w:val="auto"/>
          <w:kern w:val="2"/>
          <w:sz w:val="28"/>
          <w:szCs w:val="28"/>
          <w:lang w:val="en-US" w:eastAsia="zh-CN" w:bidi="ar-SA"/>
        </w:rPr>
        <w:t>4.1.1咨询人违约金的支付方法：</w:t>
      </w:r>
      <w:r>
        <w:rPr>
          <w:rFonts w:hint="eastAsia" w:ascii="仿宋_GB2312" w:hAnsi="仿宋_GB2312" w:eastAsia="仿宋_GB2312" w:cs="仿宋_GB2312"/>
          <w:b w:val="0"/>
          <w:bCs w:val="0"/>
          <w:color w:val="auto"/>
          <w:kern w:val="2"/>
          <w:sz w:val="28"/>
          <w:szCs w:val="28"/>
          <w:u w:val="single"/>
          <w:lang w:val="en-US" w:eastAsia="zh-CN" w:bidi="ar-SA"/>
        </w:rPr>
        <w:t xml:space="preserve"> 合同付款时直接扣除 。</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_GB2312" w:hAnsi="仿宋_GB2312" w:eastAsia="仿宋_GB2312" w:cs="仿宋_GB2312"/>
          <w:b/>
          <w:bCs/>
          <w:color w:val="auto"/>
          <w:kern w:val="2"/>
          <w:sz w:val="28"/>
          <w:szCs w:val="28"/>
          <w:lang w:val="en-US" w:eastAsia="zh-CN" w:bidi="ar-SA"/>
        </w:rPr>
      </w:pPr>
      <w:bookmarkStart w:id="143" w:name="_Toc419045115"/>
      <w:bookmarkStart w:id="144" w:name="_Toc422322540"/>
      <w:r>
        <w:rPr>
          <w:rFonts w:hint="eastAsia" w:ascii="仿宋_GB2312" w:hAnsi="仿宋_GB2312" w:eastAsia="仿宋_GB2312" w:cs="仿宋_GB2312"/>
          <w:b/>
          <w:bCs/>
          <w:color w:val="auto"/>
          <w:kern w:val="2"/>
          <w:sz w:val="28"/>
          <w:szCs w:val="28"/>
          <w:lang w:val="en-US" w:eastAsia="zh-CN" w:bidi="ar-SA"/>
        </w:rPr>
        <w:t>5. 支付</w:t>
      </w:r>
      <w:bookmarkEnd w:id="143"/>
      <w:bookmarkEnd w:id="144"/>
      <w:bookmarkStart w:id="145" w:name="_Toc422322541"/>
      <w:bookmarkStart w:id="146" w:name="_Toc419045116"/>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5.1支付货币</w:t>
      </w:r>
      <w:bookmarkEnd w:id="145"/>
      <w:bookmarkEnd w:id="146"/>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 xml:space="preserve">币种为： </w:t>
      </w:r>
      <w:r>
        <w:rPr>
          <w:rFonts w:hint="eastAsia" w:ascii="仿宋_GB2312" w:hAnsi="仿宋_GB2312" w:eastAsia="仿宋_GB2312" w:cs="仿宋_GB2312"/>
          <w:b w:val="0"/>
          <w:bCs w:val="0"/>
          <w:color w:val="auto"/>
          <w:kern w:val="2"/>
          <w:sz w:val="28"/>
          <w:szCs w:val="28"/>
          <w:u w:val="single"/>
          <w:lang w:val="en-US" w:eastAsia="zh-CN" w:bidi="ar-SA"/>
        </w:rPr>
        <w:t xml:space="preserve"> 人民币  </w:t>
      </w:r>
      <w:r>
        <w:rPr>
          <w:rFonts w:hint="eastAsia" w:ascii="仿宋_GB2312" w:hAnsi="仿宋_GB2312" w:eastAsia="仿宋_GB2312" w:cs="仿宋_GB2312"/>
          <w:b w:val="0"/>
          <w:bCs w:val="0"/>
          <w:color w:val="auto"/>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bookmarkStart w:id="147" w:name="_Toc422322542"/>
      <w:bookmarkStart w:id="148" w:name="_Toc419045117"/>
      <w:r>
        <w:rPr>
          <w:rFonts w:hint="eastAsia" w:ascii="仿宋_GB2312" w:hAnsi="仿宋_GB2312" w:eastAsia="仿宋_GB2312" w:cs="仿宋_GB2312"/>
          <w:b w:val="0"/>
          <w:bCs w:val="0"/>
          <w:color w:val="auto"/>
          <w:kern w:val="2"/>
          <w:sz w:val="28"/>
          <w:szCs w:val="28"/>
          <w:lang w:val="en-US" w:eastAsia="zh-CN" w:bidi="ar-SA"/>
        </w:rPr>
        <w:t>5.2 支付申请</w:t>
      </w:r>
      <w:bookmarkEnd w:id="147"/>
      <w:bookmarkEnd w:id="148"/>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咨询人应在本合同约定的付款日期</w:t>
      </w:r>
      <w:r>
        <w:rPr>
          <w:rFonts w:hint="eastAsia" w:ascii="仿宋_GB2312" w:hAnsi="仿宋_GB2312" w:eastAsia="仿宋_GB2312" w:cs="仿宋_GB2312"/>
          <w:b w:val="0"/>
          <w:bCs w:val="0"/>
          <w:color w:val="auto"/>
          <w:kern w:val="2"/>
          <w:sz w:val="28"/>
          <w:szCs w:val="28"/>
          <w:u w:val="single"/>
          <w:lang w:val="en-US" w:eastAsia="zh-CN" w:bidi="ar-SA"/>
        </w:rPr>
        <w:t xml:space="preserve">  5  </w:t>
      </w:r>
      <w:r>
        <w:rPr>
          <w:rFonts w:hint="eastAsia" w:ascii="仿宋_GB2312" w:hAnsi="仿宋_GB2312" w:eastAsia="仿宋_GB2312" w:cs="仿宋_GB2312"/>
          <w:b w:val="0"/>
          <w:bCs w:val="0"/>
          <w:color w:val="auto"/>
          <w:kern w:val="2"/>
          <w:sz w:val="28"/>
          <w:szCs w:val="28"/>
          <w:lang w:val="en-US" w:eastAsia="zh-CN" w:bidi="ar-SA"/>
        </w:rPr>
        <w:t>日前，向委托人提交支付申请书，委托人根据咨询人提交申请书审核后支付相应酬金。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bookmarkStart w:id="149" w:name="_Toc422322543"/>
      <w:bookmarkStart w:id="150" w:name="_Toc419045118"/>
      <w:r>
        <w:rPr>
          <w:rFonts w:hint="eastAsia" w:ascii="仿宋_GB2312" w:hAnsi="仿宋_GB2312" w:eastAsia="仿宋_GB2312" w:cs="仿宋_GB2312"/>
          <w:b w:val="0"/>
          <w:bCs w:val="0"/>
          <w:color w:val="auto"/>
          <w:kern w:val="2"/>
          <w:sz w:val="28"/>
          <w:szCs w:val="28"/>
          <w:highlight w:val="none"/>
          <w:lang w:val="en-US" w:eastAsia="zh-CN" w:bidi="ar-SA"/>
        </w:rPr>
        <w:t>5.3支付酬金</w:t>
      </w:r>
      <w:bookmarkEnd w:id="149"/>
      <w:bookmarkEnd w:id="150"/>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正常工作酬金的支付：</w:t>
      </w:r>
    </w:p>
    <w:tbl>
      <w:tblPr>
        <w:tblStyle w:val="19"/>
        <w:tblW w:w="0" w:type="auto"/>
        <w:jc w:val="center"/>
        <w:tblLayout w:type="fixed"/>
        <w:tblCellMar>
          <w:top w:w="0" w:type="dxa"/>
          <w:left w:w="0" w:type="dxa"/>
          <w:bottom w:w="0" w:type="dxa"/>
          <w:right w:w="0" w:type="dxa"/>
        </w:tblCellMar>
      </w:tblPr>
      <w:tblGrid>
        <w:gridCol w:w="1201"/>
        <w:gridCol w:w="2387"/>
        <w:gridCol w:w="1440"/>
        <w:gridCol w:w="3127"/>
      </w:tblGrid>
      <w:tr>
        <w:tblPrEx>
          <w:tblCellMar>
            <w:top w:w="0" w:type="dxa"/>
            <w:left w:w="0" w:type="dxa"/>
            <w:bottom w:w="0" w:type="dxa"/>
            <w:right w:w="0" w:type="dxa"/>
          </w:tblCellMar>
        </w:tblPrEx>
        <w:trPr>
          <w:trHeight w:val="567" w:hRule="atLeast"/>
          <w:jc w:val="center"/>
        </w:trPr>
        <w:tc>
          <w:tcPr>
            <w:tcW w:w="1201" w:type="dxa"/>
            <w:tcBorders>
              <w:top w:val="inset" w:color="000000" w:sz="6" w:space="0"/>
              <w:left w:val="inset" w:color="000000" w:sz="6" w:space="0"/>
              <w:bottom w:val="inset" w:color="000000" w:sz="6" w:space="0"/>
              <w:right w:val="inset"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支付次数</w:t>
            </w:r>
          </w:p>
        </w:tc>
        <w:tc>
          <w:tcPr>
            <w:tcW w:w="2387" w:type="dxa"/>
            <w:tcBorders>
              <w:top w:val="inset" w:color="000000" w:sz="6" w:space="0"/>
              <w:left w:val="single" w:color="auto" w:sz="0" w:space="0"/>
              <w:bottom w:val="inset" w:color="000000" w:sz="6" w:space="0"/>
              <w:right w:val="inset"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支付时间</w:t>
            </w:r>
          </w:p>
        </w:tc>
        <w:tc>
          <w:tcPr>
            <w:tcW w:w="1440" w:type="dxa"/>
            <w:tcBorders>
              <w:top w:val="inset" w:color="000000" w:sz="6" w:space="0"/>
              <w:left w:val="single" w:color="auto" w:sz="0" w:space="0"/>
              <w:bottom w:val="inset" w:color="000000" w:sz="6" w:space="0"/>
              <w:right w:val="inset"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支付比例</w:t>
            </w:r>
          </w:p>
        </w:tc>
        <w:tc>
          <w:tcPr>
            <w:tcW w:w="3127" w:type="dxa"/>
            <w:tcBorders>
              <w:top w:val="inset" w:color="000000" w:sz="6" w:space="0"/>
              <w:left w:val="single" w:color="auto" w:sz="0" w:space="0"/>
              <w:bottom w:val="inset" w:color="000000" w:sz="6" w:space="0"/>
              <w:right w:val="inset"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备注</w:t>
            </w:r>
          </w:p>
        </w:tc>
      </w:tr>
      <w:tr>
        <w:tblPrEx>
          <w:tblCellMar>
            <w:top w:w="0" w:type="dxa"/>
            <w:left w:w="0" w:type="dxa"/>
            <w:bottom w:w="0" w:type="dxa"/>
            <w:right w:w="0" w:type="dxa"/>
          </w:tblCellMar>
        </w:tblPrEx>
        <w:trPr>
          <w:trHeight w:val="830" w:hRule="atLeast"/>
          <w:jc w:val="center"/>
        </w:trPr>
        <w:tc>
          <w:tcPr>
            <w:tcW w:w="1201" w:type="dxa"/>
            <w:tcBorders>
              <w:top w:val="inset" w:color="000000" w:sz="6" w:space="0"/>
              <w:left w:val="inset" w:color="000000" w:sz="6" w:space="0"/>
              <w:bottom w:val="inset" w:color="000000" w:sz="6" w:space="0"/>
              <w:right w:val="inset"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1</w:t>
            </w:r>
          </w:p>
        </w:tc>
        <w:tc>
          <w:tcPr>
            <w:tcW w:w="2387" w:type="dxa"/>
            <w:tcBorders>
              <w:top w:val="inset" w:color="000000" w:sz="6" w:space="0"/>
              <w:left w:val="single" w:color="auto" w:sz="0" w:space="0"/>
              <w:bottom w:val="inset" w:color="000000" w:sz="6" w:space="0"/>
              <w:right w:val="inset"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完成审计后30个工作日内。</w:t>
            </w:r>
          </w:p>
        </w:tc>
        <w:tc>
          <w:tcPr>
            <w:tcW w:w="1440" w:type="dxa"/>
            <w:tcBorders>
              <w:top w:val="inset" w:color="000000" w:sz="6" w:space="0"/>
              <w:left w:val="single" w:color="auto" w:sz="0" w:space="0"/>
              <w:bottom w:val="inset" w:color="000000" w:sz="6" w:space="0"/>
              <w:right w:val="inset"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100%</w:t>
            </w:r>
          </w:p>
        </w:tc>
        <w:tc>
          <w:tcPr>
            <w:tcW w:w="3127" w:type="dxa"/>
            <w:tcBorders>
              <w:top w:val="inset" w:color="000000" w:sz="6" w:space="0"/>
              <w:left w:val="single" w:color="auto" w:sz="0" w:space="0"/>
              <w:bottom w:val="inset" w:color="000000" w:sz="6" w:space="0"/>
              <w:right w:val="inset"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_GB2312" w:hAnsi="仿宋_GB2312" w:eastAsia="仿宋_GB2312" w:cs="仿宋_GB2312"/>
                <w:b w:val="0"/>
                <w:bCs w:val="0"/>
                <w:color w:val="auto"/>
                <w:kern w:val="2"/>
                <w:sz w:val="28"/>
                <w:szCs w:val="28"/>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_GB2312" w:hAnsi="仿宋_GB2312" w:eastAsia="仿宋_GB2312" w:cs="仿宋_GB2312"/>
          <w:b/>
          <w:bCs/>
          <w:color w:val="auto"/>
          <w:kern w:val="2"/>
          <w:sz w:val="28"/>
          <w:szCs w:val="28"/>
          <w:lang w:val="en-US" w:eastAsia="zh-CN" w:bidi="ar-SA"/>
        </w:rPr>
      </w:pPr>
      <w:bookmarkStart w:id="151" w:name="_Toc419045119"/>
      <w:bookmarkStart w:id="152" w:name="_Toc422322544"/>
      <w:r>
        <w:rPr>
          <w:rFonts w:hint="eastAsia" w:ascii="仿宋_GB2312" w:hAnsi="仿宋_GB2312" w:eastAsia="仿宋_GB2312" w:cs="仿宋_GB2312"/>
          <w:b/>
          <w:bCs/>
          <w:color w:val="auto"/>
          <w:kern w:val="2"/>
          <w:sz w:val="28"/>
          <w:szCs w:val="28"/>
          <w:lang w:val="en-US" w:eastAsia="zh-CN" w:bidi="ar-SA"/>
        </w:rPr>
        <w:t>6. 合同变更、解除与终止</w:t>
      </w:r>
      <w:bookmarkEnd w:id="151"/>
      <w:bookmarkEnd w:id="152"/>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bookmarkStart w:id="153" w:name="_Toc422322545"/>
      <w:bookmarkStart w:id="154" w:name="_Toc419045120"/>
      <w:r>
        <w:rPr>
          <w:rFonts w:hint="eastAsia" w:ascii="仿宋_GB2312" w:hAnsi="仿宋_GB2312" w:eastAsia="仿宋_GB2312" w:cs="仿宋_GB2312"/>
          <w:b w:val="0"/>
          <w:bCs w:val="0"/>
          <w:color w:val="auto"/>
          <w:kern w:val="2"/>
          <w:sz w:val="28"/>
          <w:szCs w:val="28"/>
          <w:lang w:val="en-US" w:eastAsia="zh-CN" w:bidi="ar-SA"/>
        </w:rPr>
        <w:t>6.1合同变更</w:t>
      </w:r>
      <w:bookmarkEnd w:id="153"/>
      <w:bookmarkEnd w:id="154"/>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 xml:space="preserve">    6.1.1 除不可抗力外，因非委托人原因导致本合同履行期限延长，咨询人应承担相应违约责任。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6.1.2因工程规模、服务范围及内容的变化等导致咨询人的工作量增减时，服务酬金的调整方法：</w:t>
      </w:r>
      <w:r>
        <w:rPr>
          <w:rFonts w:hint="eastAsia" w:ascii="仿宋_GB2312" w:hAnsi="仿宋_GB2312" w:eastAsia="仿宋_GB2312" w:cs="仿宋_GB2312"/>
          <w:b w:val="0"/>
          <w:bCs w:val="0"/>
          <w:color w:val="auto"/>
          <w:kern w:val="2"/>
          <w:sz w:val="28"/>
          <w:szCs w:val="28"/>
          <w:u w:val="single"/>
          <w:lang w:val="en-US" w:eastAsia="zh-CN" w:bidi="ar-SA"/>
        </w:rPr>
        <w:t xml:space="preserve"> 双方协商确定 </w:t>
      </w:r>
      <w:r>
        <w:rPr>
          <w:rFonts w:hint="eastAsia" w:ascii="仿宋_GB2312" w:hAnsi="仿宋_GB2312" w:eastAsia="仿宋_GB2312" w:cs="仿宋_GB2312"/>
          <w:b w:val="0"/>
          <w:bCs w:val="0"/>
          <w:color w:val="auto"/>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bookmarkStart w:id="155" w:name="_Toc422322546"/>
      <w:r>
        <w:rPr>
          <w:rFonts w:hint="eastAsia" w:ascii="仿宋_GB2312" w:hAnsi="仿宋_GB2312" w:eastAsia="仿宋_GB2312" w:cs="仿宋_GB2312"/>
          <w:b w:val="0"/>
          <w:bCs w:val="0"/>
          <w:color w:val="auto"/>
          <w:kern w:val="2"/>
          <w:sz w:val="28"/>
          <w:szCs w:val="28"/>
          <w:lang w:val="en-US" w:eastAsia="zh-CN" w:bidi="ar-SA"/>
        </w:rPr>
        <w:t>6.2合同解除</w:t>
      </w:r>
      <w:bookmarkEnd w:id="155"/>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6.2.1因不可抗力导致的合同解除，双方协商解决。</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_GB2312" w:hAnsi="仿宋_GB2312" w:eastAsia="仿宋_GB2312" w:cs="仿宋_GB2312"/>
          <w:b/>
          <w:bCs/>
          <w:color w:val="auto"/>
          <w:kern w:val="2"/>
          <w:sz w:val="28"/>
          <w:szCs w:val="28"/>
          <w:lang w:val="en-US" w:eastAsia="zh-CN" w:bidi="ar-SA"/>
        </w:rPr>
      </w:pPr>
      <w:bookmarkStart w:id="156" w:name="_Toc419045121"/>
      <w:bookmarkStart w:id="157" w:name="_Toc422322547"/>
      <w:r>
        <w:rPr>
          <w:rFonts w:hint="eastAsia" w:ascii="仿宋_GB2312" w:hAnsi="仿宋_GB2312" w:eastAsia="仿宋_GB2312" w:cs="仿宋_GB2312"/>
          <w:b/>
          <w:bCs/>
          <w:color w:val="auto"/>
          <w:kern w:val="2"/>
          <w:sz w:val="28"/>
          <w:szCs w:val="28"/>
          <w:lang w:val="en-US" w:eastAsia="zh-CN" w:bidi="ar-SA"/>
        </w:rPr>
        <w:t>7. 争议解决</w:t>
      </w:r>
      <w:bookmarkEnd w:id="156"/>
      <w:bookmarkEnd w:id="157"/>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bookmarkStart w:id="158" w:name="_Toc419045122"/>
      <w:bookmarkStart w:id="159" w:name="_Toc422322548"/>
      <w:r>
        <w:rPr>
          <w:rFonts w:hint="eastAsia" w:ascii="仿宋_GB2312" w:hAnsi="仿宋_GB2312" w:eastAsia="仿宋_GB2312" w:cs="仿宋_GB2312"/>
          <w:b w:val="0"/>
          <w:bCs w:val="0"/>
          <w:color w:val="auto"/>
          <w:kern w:val="2"/>
          <w:sz w:val="28"/>
          <w:szCs w:val="28"/>
          <w:lang w:val="en-US" w:eastAsia="zh-CN" w:bidi="ar-SA"/>
        </w:rPr>
        <w:t>7.</w:t>
      </w:r>
      <w:bookmarkEnd w:id="158"/>
      <w:bookmarkEnd w:id="159"/>
      <w:r>
        <w:rPr>
          <w:rFonts w:hint="eastAsia" w:ascii="仿宋_GB2312" w:hAnsi="仿宋_GB2312" w:eastAsia="仿宋_GB2312" w:cs="仿宋_GB2312"/>
          <w:b w:val="0"/>
          <w:bCs w:val="0"/>
          <w:color w:val="auto"/>
          <w:kern w:val="2"/>
          <w:sz w:val="28"/>
          <w:szCs w:val="28"/>
          <w:lang w:val="en-US" w:eastAsia="zh-CN" w:bidi="ar-SA"/>
        </w:rPr>
        <w:t>1仲裁或诉讼</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 xml:space="preserve">    如果双方不能协商解决本合同争议，可以向 </w:t>
      </w:r>
      <w:r>
        <w:rPr>
          <w:rFonts w:hint="eastAsia" w:ascii="仿宋_GB2312" w:hAnsi="仿宋_GB2312" w:eastAsia="仿宋_GB2312" w:cs="仿宋_GB2312"/>
          <w:b w:val="0"/>
          <w:bCs w:val="0"/>
          <w:color w:val="auto"/>
          <w:kern w:val="2"/>
          <w:sz w:val="28"/>
          <w:szCs w:val="28"/>
          <w:u w:val="single"/>
          <w:lang w:val="en-US" w:eastAsia="zh-CN" w:bidi="ar-SA"/>
        </w:rPr>
        <w:t>工程所在地</w:t>
      </w:r>
      <w:r>
        <w:rPr>
          <w:rFonts w:hint="eastAsia" w:ascii="仿宋_GB2312" w:hAnsi="仿宋_GB2312" w:eastAsia="仿宋_GB2312" w:cs="仿宋_GB2312"/>
          <w:b w:val="0"/>
          <w:bCs w:val="0"/>
          <w:color w:val="auto"/>
          <w:kern w:val="2"/>
          <w:sz w:val="28"/>
          <w:szCs w:val="28"/>
          <w:lang w:val="en-US" w:eastAsia="zh-CN" w:bidi="ar-SA"/>
        </w:rPr>
        <w:t xml:space="preserve"> 人民法院提起诉讼。</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_GB2312" w:hAnsi="仿宋_GB2312" w:eastAsia="仿宋_GB2312" w:cs="仿宋_GB2312"/>
          <w:b/>
          <w:bCs/>
          <w:color w:val="auto"/>
          <w:kern w:val="2"/>
          <w:sz w:val="28"/>
          <w:szCs w:val="28"/>
          <w:lang w:val="en-US" w:eastAsia="zh-CN" w:bidi="ar-SA"/>
        </w:rPr>
      </w:pPr>
      <w:bookmarkStart w:id="160" w:name="_Toc419045123"/>
      <w:bookmarkStart w:id="161" w:name="_Toc422322550"/>
      <w:r>
        <w:rPr>
          <w:rFonts w:hint="eastAsia" w:ascii="仿宋_GB2312" w:hAnsi="仿宋_GB2312" w:eastAsia="仿宋_GB2312" w:cs="仿宋_GB2312"/>
          <w:b/>
          <w:bCs/>
          <w:color w:val="auto"/>
          <w:kern w:val="2"/>
          <w:sz w:val="28"/>
          <w:szCs w:val="28"/>
          <w:lang w:val="en-US" w:eastAsia="zh-CN" w:bidi="ar-SA"/>
        </w:rPr>
        <w:t>8. 其他</w:t>
      </w:r>
      <w:bookmarkEnd w:id="160"/>
      <w:bookmarkEnd w:id="161"/>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bookmarkStart w:id="162" w:name="_Toc422322551"/>
      <w:r>
        <w:rPr>
          <w:rFonts w:hint="eastAsia" w:ascii="仿宋_GB2312" w:hAnsi="仿宋_GB2312" w:eastAsia="仿宋_GB2312" w:cs="仿宋_GB2312"/>
          <w:b w:val="0"/>
          <w:bCs w:val="0"/>
          <w:color w:val="auto"/>
          <w:kern w:val="2"/>
          <w:sz w:val="28"/>
          <w:szCs w:val="28"/>
          <w:lang w:val="en-US" w:eastAsia="zh-CN" w:bidi="ar-SA"/>
        </w:rPr>
        <w:t>8.1考察及相关费用</w:t>
      </w:r>
      <w:bookmarkEnd w:id="162"/>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咨询人在履行本工程咨询服务时发生的考察、现场踏勘、出差等相关费用均由咨询人自己承担。</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bookmarkStart w:id="163" w:name="_Toc422322552"/>
      <w:r>
        <w:rPr>
          <w:rFonts w:hint="eastAsia" w:ascii="仿宋_GB2312" w:hAnsi="仿宋_GB2312" w:eastAsia="仿宋_GB2312" w:cs="仿宋_GB2312"/>
          <w:b w:val="0"/>
          <w:bCs w:val="0"/>
          <w:color w:val="auto"/>
          <w:kern w:val="2"/>
          <w:sz w:val="28"/>
          <w:szCs w:val="28"/>
          <w:lang w:val="en-US" w:eastAsia="zh-CN" w:bidi="ar-SA"/>
        </w:rPr>
        <w:t>8.2合理化建议奖励</w:t>
      </w:r>
      <w:bookmarkEnd w:id="163"/>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 xml:space="preserve">委托人鼓励咨询人在实施合同过程中对委托工程提出合理化建议，委托人可以根据合理化建议的合理性给予咨询人适当的经济奖励。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bookmarkStart w:id="164" w:name="_Toc422322553"/>
      <w:r>
        <w:rPr>
          <w:rFonts w:hint="eastAsia" w:ascii="仿宋_GB2312" w:hAnsi="仿宋_GB2312" w:eastAsia="仿宋_GB2312" w:cs="仿宋_GB2312"/>
          <w:b w:val="0"/>
          <w:bCs w:val="0"/>
          <w:color w:val="auto"/>
          <w:kern w:val="2"/>
          <w:sz w:val="28"/>
          <w:szCs w:val="28"/>
          <w:lang w:val="en-US" w:eastAsia="zh-CN" w:bidi="ar-SA"/>
        </w:rPr>
        <w:t>8.3保密</w:t>
      </w:r>
      <w:bookmarkEnd w:id="164"/>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 xml:space="preserve"> </w:t>
      </w:r>
      <w:bookmarkStart w:id="165" w:name="_Toc422322554"/>
      <w:r>
        <w:rPr>
          <w:rFonts w:hint="eastAsia" w:ascii="仿宋_GB2312" w:hAnsi="仿宋_GB2312" w:eastAsia="仿宋_GB2312" w:cs="仿宋_GB2312"/>
          <w:b w:val="0"/>
          <w:bCs w:val="0"/>
          <w:color w:val="auto"/>
          <w:kern w:val="2"/>
          <w:sz w:val="28"/>
          <w:szCs w:val="28"/>
          <w:lang w:val="en-US" w:eastAsia="zh-CN" w:bidi="ar-SA"/>
        </w:rPr>
        <w:t>咨询人有义务对本工程的所有资料及信息进行严格保密，所有用途必须经过委托人同意，若因咨询人泄密而造成任何的责任及损失，均由咨询人承担全部责任。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8.4联络</w:t>
      </w:r>
      <w:bookmarkEnd w:id="165"/>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8.4.1任何一方与合同有关的通知、指示、要求、决定等，均应  3  日内送达对方指定的接收人和送达地点。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bookmarkStart w:id="166" w:name="_Toc419045124"/>
      <w:bookmarkStart w:id="167" w:name="_Toc422322555"/>
      <w:r>
        <w:rPr>
          <w:rFonts w:hint="eastAsia" w:ascii="仿宋_GB2312" w:hAnsi="仿宋_GB2312" w:eastAsia="仿宋_GB2312" w:cs="仿宋_GB2312"/>
          <w:b w:val="0"/>
          <w:bCs w:val="0"/>
          <w:color w:val="auto"/>
          <w:kern w:val="2"/>
          <w:sz w:val="28"/>
          <w:szCs w:val="28"/>
          <w:lang w:val="en-US" w:eastAsia="zh-CN" w:bidi="ar-SA"/>
        </w:rPr>
        <w:t>8.5知识产权</w:t>
      </w:r>
      <w:bookmarkEnd w:id="166"/>
      <w:bookmarkEnd w:id="167"/>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委托人及咨询人均有义务保护双方的知识产权。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双方将履行本合同形成的有关成果文件用于企业宣传、申报奖项以及接受上级主管部门的检查，均</w:t>
      </w:r>
      <w:bookmarkStart w:id="168" w:name="_Toc419045125"/>
      <w:bookmarkStart w:id="169" w:name="_Toc422322556"/>
      <w:r>
        <w:rPr>
          <w:rFonts w:hint="eastAsia" w:ascii="仿宋_GB2312" w:hAnsi="仿宋_GB2312" w:eastAsia="仿宋_GB2312" w:cs="仿宋_GB2312"/>
          <w:b w:val="0"/>
          <w:bCs w:val="0"/>
          <w:color w:val="auto"/>
          <w:kern w:val="2"/>
          <w:sz w:val="28"/>
          <w:szCs w:val="28"/>
          <w:lang w:val="en-US" w:eastAsia="zh-CN" w:bidi="ar-SA"/>
        </w:rPr>
        <w:t>须取得对方同意。</w:t>
      </w:r>
    </w:p>
    <w:bookmarkEnd w:id="168"/>
    <w:bookmarkEnd w:id="169"/>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8.6本合同未尽事宜双方协商解决。</w:t>
      </w:r>
    </w:p>
    <w:p>
      <w:pPr>
        <w:pStyle w:val="2"/>
        <w:rPr>
          <w:rFonts w:hint="eastAsia" w:ascii="仿宋_GB2312" w:hAnsi="仿宋_GB2312" w:eastAsia="仿宋_GB2312" w:cs="仿宋_GB2312"/>
          <w:b w:val="0"/>
          <w:bCs w:val="0"/>
          <w:color w:val="auto"/>
          <w:kern w:val="2"/>
          <w:sz w:val="28"/>
          <w:szCs w:val="28"/>
          <w:lang w:val="en-US" w:eastAsia="zh-CN" w:bidi="ar-SA"/>
        </w:rPr>
      </w:pPr>
    </w:p>
    <w:p>
      <w:pPr>
        <w:pStyle w:val="3"/>
        <w:rPr>
          <w:rFonts w:hint="eastAsia"/>
          <w:lang w:val="en-US" w:eastAsia="zh-CN"/>
        </w:rPr>
      </w:pPr>
    </w:p>
    <w:p>
      <w:pPr>
        <w:pStyle w:val="4"/>
        <w:pageBreakBefore w:val="0"/>
        <w:kinsoku/>
        <w:wordWrap/>
        <w:overflowPunct/>
        <w:topLinePunct w:val="0"/>
        <w:autoSpaceDE/>
        <w:autoSpaceDN/>
        <w:bidi w:val="0"/>
        <w:adjustRightInd/>
        <w:snapToGrid/>
        <w:spacing w:before="0" w:after="0" w:line="440" w:lineRule="exact"/>
        <w:jc w:val="center"/>
        <w:textAlignment w:val="auto"/>
        <w:rPr>
          <w:rFonts w:hint="eastAsia"/>
          <w:sz w:val="24"/>
          <w:szCs w:val="24"/>
        </w:rPr>
      </w:pPr>
      <w:bookmarkStart w:id="170" w:name="_Toc422322558"/>
      <w:bookmarkStart w:id="171" w:name="_Toc419045127"/>
      <w:r>
        <w:rPr>
          <w:rFonts w:hint="eastAsia"/>
          <w:sz w:val="24"/>
          <w:szCs w:val="24"/>
        </w:rPr>
        <w:t>附录 委托人提供资料及咨询人提交成果文件一览表</w:t>
      </w:r>
      <w:bookmarkEnd w:id="170"/>
      <w:bookmarkEnd w:id="171"/>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3509"/>
        <w:gridCol w:w="1559"/>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exact"/>
          <w:jc w:val="center"/>
        </w:trPr>
        <w:tc>
          <w:tcPr>
            <w:tcW w:w="1325" w:type="dxa"/>
            <w:noWrap w:val="0"/>
            <w:vAlign w:val="center"/>
          </w:tcPr>
          <w:p>
            <w:pPr>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eastAsia"/>
                <w:bCs/>
              </w:rPr>
            </w:pPr>
            <w:r>
              <w:rPr>
                <w:rFonts w:hint="eastAsia"/>
                <w:bCs/>
              </w:rPr>
              <w:t>服务阶段</w:t>
            </w:r>
          </w:p>
        </w:tc>
        <w:tc>
          <w:tcPr>
            <w:tcW w:w="3509" w:type="dxa"/>
            <w:noWrap w:val="0"/>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bCs/>
              </w:rPr>
            </w:pPr>
            <w:r>
              <w:rPr>
                <w:rFonts w:hint="eastAsia"/>
                <w:bCs/>
              </w:rPr>
              <w:t>成果文件名称</w:t>
            </w:r>
          </w:p>
        </w:tc>
        <w:tc>
          <w:tcPr>
            <w:tcW w:w="1559" w:type="dxa"/>
            <w:noWrap w:val="0"/>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bCs/>
              </w:rPr>
            </w:pPr>
            <w:r>
              <w:rPr>
                <w:rFonts w:hint="eastAsia"/>
                <w:bCs/>
              </w:rPr>
              <w:t>份数</w:t>
            </w:r>
          </w:p>
        </w:tc>
        <w:tc>
          <w:tcPr>
            <w:tcW w:w="1449" w:type="dxa"/>
            <w:noWrap w:val="0"/>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bCs/>
              </w:rPr>
            </w:pPr>
            <w:r>
              <w:rPr>
                <w:rFonts w:hint="eastAsia"/>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25" w:type="dxa"/>
            <w:vMerge w:val="restart"/>
            <w:noWrap w:val="0"/>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bCs/>
              </w:rPr>
            </w:pPr>
            <w:r>
              <w:rPr>
                <w:rFonts w:hint="eastAsia"/>
                <w:bCs/>
              </w:rPr>
              <w:t>委托人提供资料清单</w:t>
            </w:r>
          </w:p>
        </w:tc>
        <w:tc>
          <w:tcPr>
            <w:tcW w:w="3509" w:type="dxa"/>
            <w:noWrap w:val="0"/>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bCs/>
              </w:rPr>
            </w:pPr>
          </w:p>
        </w:tc>
        <w:tc>
          <w:tcPr>
            <w:tcW w:w="1559" w:type="dxa"/>
            <w:noWrap w:val="0"/>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bCs/>
              </w:rPr>
            </w:pPr>
          </w:p>
        </w:tc>
        <w:tc>
          <w:tcPr>
            <w:tcW w:w="1449" w:type="dxa"/>
            <w:noWrap w:val="0"/>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25" w:type="dxa"/>
            <w:vMerge w:val="continue"/>
            <w:noWrap w:val="0"/>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bCs/>
              </w:rPr>
            </w:pPr>
          </w:p>
        </w:tc>
        <w:tc>
          <w:tcPr>
            <w:tcW w:w="3509" w:type="dxa"/>
            <w:noWrap w:val="0"/>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bCs/>
              </w:rPr>
            </w:pPr>
          </w:p>
        </w:tc>
        <w:tc>
          <w:tcPr>
            <w:tcW w:w="1559" w:type="dxa"/>
            <w:noWrap w:val="0"/>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bCs/>
              </w:rPr>
            </w:pPr>
          </w:p>
        </w:tc>
        <w:tc>
          <w:tcPr>
            <w:tcW w:w="1449" w:type="dxa"/>
            <w:noWrap w:val="0"/>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25" w:type="dxa"/>
            <w:vMerge w:val="continue"/>
            <w:noWrap w:val="0"/>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bCs/>
              </w:rPr>
            </w:pPr>
          </w:p>
        </w:tc>
        <w:tc>
          <w:tcPr>
            <w:tcW w:w="3509" w:type="dxa"/>
            <w:noWrap w:val="0"/>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bCs/>
              </w:rPr>
            </w:pPr>
          </w:p>
        </w:tc>
        <w:tc>
          <w:tcPr>
            <w:tcW w:w="1559" w:type="dxa"/>
            <w:noWrap w:val="0"/>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bCs/>
              </w:rPr>
            </w:pPr>
          </w:p>
        </w:tc>
        <w:tc>
          <w:tcPr>
            <w:tcW w:w="1449" w:type="dxa"/>
            <w:noWrap w:val="0"/>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25" w:type="dxa"/>
            <w:vMerge w:val="continue"/>
            <w:noWrap w:val="0"/>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bCs/>
              </w:rPr>
            </w:pPr>
          </w:p>
        </w:tc>
        <w:tc>
          <w:tcPr>
            <w:tcW w:w="3509" w:type="dxa"/>
            <w:noWrap w:val="0"/>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bCs/>
              </w:rPr>
            </w:pPr>
          </w:p>
        </w:tc>
        <w:tc>
          <w:tcPr>
            <w:tcW w:w="1559" w:type="dxa"/>
            <w:noWrap w:val="0"/>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bCs/>
              </w:rPr>
            </w:pPr>
          </w:p>
        </w:tc>
        <w:tc>
          <w:tcPr>
            <w:tcW w:w="1449" w:type="dxa"/>
            <w:noWrap w:val="0"/>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25" w:type="dxa"/>
            <w:vMerge w:val="continue"/>
            <w:noWrap w:val="0"/>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bCs/>
              </w:rPr>
            </w:pPr>
          </w:p>
        </w:tc>
        <w:tc>
          <w:tcPr>
            <w:tcW w:w="3509" w:type="dxa"/>
            <w:noWrap w:val="0"/>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bCs/>
              </w:rPr>
            </w:pPr>
          </w:p>
        </w:tc>
        <w:tc>
          <w:tcPr>
            <w:tcW w:w="1559" w:type="dxa"/>
            <w:noWrap w:val="0"/>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bCs/>
              </w:rPr>
            </w:pPr>
          </w:p>
        </w:tc>
        <w:tc>
          <w:tcPr>
            <w:tcW w:w="1449" w:type="dxa"/>
            <w:noWrap w:val="0"/>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25" w:type="dxa"/>
            <w:vMerge w:val="continue"/>
            <w:noWrap w:val="0"/>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bCs/>
              </w:rPr>
            </w:pPr>
          </w:p>
        </w:tc>
        <w:tc>
          <w:tcPr>
            <w:tcW w:w="3509" w:type="dxa"/>
            <w:noWrap w:val="0"/>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bCs/>
              </w:rPr>
            </w:pPr>
          </w:p>
        </w:tc>
        <w:tc>
          <w:tcPr>
            <w:tcW w:w="1559" w:type="dxa"/>
            <w:noWrap w:val="0"/>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bCs/>
              </w:rPr>
            </w:pPr>
          </w:p>
        </w:tc>
        <w:tc>
          <w:tcPr>
            <w:tcW w:w="1449" w:type="dxa"/>
            <w:noWrap w:val="0"/>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25" w:type="dxa"/>
            <w:vMerge w:val="restart"/>
            <w:noWrap w:val="0"/>
            <w:vAlign w:val="center"/>
          </w:tcPr>
          <w:p>
            <w:pPr>
              <w:pStyle w:val="17"/>
              <w:pageBreakBefore w:val="0"/>
              <w:widowControl w:val="0"/>
              <w:kinsoku/>
              <w:wordWrap/>
              <w:overflowPunct/>
              <w:topLinePunct w:val="0"/>
              <w:autoSpaceDE/>
              <w:autoSpaceDN/>
              <w:bidi w:val="0"/>
              <w:adjustRightInd/>
              <w:snapToGrid/>
              <w:spacing w:line="440" w:lineRule="exact"/>
              <w:jc w:val="center"/>
              <w:textAlignment w:val="auto"/>
              <w:rPr>
                <w:rFonts w:hint="eastAsia"/>
                <w:bCs/>
              </w:rPr>
            </w:pPr>
            <w:r>
              <w:rPr>
                <w:rFonts w:hint="eastAsia"/>
                <w:bCs/>
              </w:rPr>
              <w:t>咨询人需要提交成果文件</w:t>
            </w:r>
          </w:p>
        </w:tc>
        <w:tc>
          <w:tcPr>
            <w:tcW w:w="3509" w:type="dxa"/>
            <w:noWrap w:val="0"/>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bCs/>
              </w:rPr>
            </w:pPr>
          </w:p>
        </w:tc>
        <w:tc>
          <w:tcPr>
            <w:tcW w:w="1559" w:type="dxa"/>
            <w:noWrap w:val="0"/>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bCs/>
              </w:rPr>
            </w:pPr>
          </w:p>
        </w:tc>
        <w:tc>
          <w:tcPr>
            <w:tcW w:w="1449" w:type="dxa"/>
            <w:noWrap w:val="0"/>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25" w:type="dxa"/>
            <w:vMerge w:val="continue"/>
            <w:noWrap w:val="0"/>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bCs/>
              </w:rPr>
            </w:pPr>
          </w:p>
        </w:tc>
        <w:tc>
          <w:tcPr>
            <w:tcW w:w="3509" w:type="dxa"/>
            <w:noWrap w:val="0"/>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bCs/>
              </w:rPr>
            </w:pPr>
          </w:p>
        </w:tc>
        <w:tc>
          <w:tcPr>
            <w:tcW w:w="1559" w:type="dxa"/>
            <w:noWrap w:val="0"/>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bCs/>
              </w:rPr>
            </w:pPr>
          </w:p>
        </w:tc>
        <w:tc>
          <w:tcPr>
            <w:tcW w:w="1449" w:type="dxa"/>
            <w:noWrap w:val="0"/>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25" w:type="dxa"/>
            <w:vMerge w:val="continue"/>
            <w:noWrap w:val="0"/>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bCs/>
              </w:rPr>
            </w:pPr>
          </w:p>
        </w:tc>
        <w:tc>
          <w:tcPr>
            <w:tcW w:w="3509" w:type="dxa"/>
            <w:noWrap w:val="0"/>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bCs/>
              </w:rPr>
            </w:pPr>
          </w:p>
        </w:tc>
        <w:tc>
          <w:tcPr>
            <w:tcW w:w="1559" w:type="dxa"/>
            <w:noWrap w:val="0"/>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bCs/>
              </w:rPr>
            </w:pPr>
          </w:p>
        </w:tc>
        <w:tc>
          <w:tcPr>
            <w:tcW w:w="1449" w:type="dxa"/>
            <w:noWrap w:val="0"/>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25" w:type="dxa"/>
            <w:vMerge w:val="continue"/>
            <w:noWrap w:val="0"/>
            <w:vAlign w:val="center"/>
          </w:tcPr>
          <w:p>
            <w:pPr>
              <w:pStyle w:val="17"/>
              <w:pageBreakBefore w:val="0"/>
              <w:widowControl w:val="0"/>
              <w:kinsoku/>
              <w:wordWrap/>
              <w:overflowPunct/>
              <w:topLinePunct w:val="0"/>
              <w:autoSpaceDE/>
              <w:autoSpaceDN/>
              <w:bidi w:val="0"/>
              <w:adjustRightInd/>
              <w:snapToGrid/>
              <w:spacing w:line="440" w:lineRule="exact"/>
              <w:jc w:val="center"/>
              <w:textAlignment w:val="auto"/>
              <w:rPr>
                <w:rFonts w:hint="eastAsia"/>
                <w:bCs/>
              </w:rPr>
            </w:pPr>
          </w:p>
        </w:tc>
        <w:tc>
          <w:tcPr>
            <w:tcW w:w="3509" w:type="dxa"/>
            <w:noWrap w:val="0"/>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bCs/>
              </w:rPr>
            </w:pPr>
          </w:p>
        </w:tc>
        <w:tc>
          <w:tcPr>
            <w:tcW w:w="1559" w:type="dxa"/>
            <w:noWrap w:val="0"/>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bCs/>
              </w:rPr>
            </w:pPr>
          </w:p>
        </w:tc>
        <w:tc>
          <w:tcPr>
            <w:tcW w:w="1449" w:type="dxa"/>
            <w:noWrap w:val="0"/>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25" w:type="dxa"/>
            <w:vMerge w:val="continue"/>
            <w:noWrap w:val="0"/>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bCs/>
              </w:rPr>
            </w:pPr>
          </w:p>
        </w:tc>
        <w:tc>
          <w:tcPr>
            <w:tcW w:w="3509" w:type="dxa"/>
            <w:noWrap w:val="0"/>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bCs/>
              </w:rPr>
            </w:pPr>
          </w:p>
        </w:tc>
        <w:tc>
          <w:tcPr>
            <w:tcW w:w="1559" w:type="dxa"/>
            <w:noWrap w:val="0"/>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bCs/>
              </w:rPr>
            </w:pPr>
          </w:p>
        </w:tc>
        <w:tc>
          <w:tcPr>
            <w:tcW w:w="1449" w:type="dxa"/>
            <w:noWrap w:val="0"/>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25" w:type="dxa"/>
            <w:vMerge w:val="continue"/>
            <w:noWrap w:val="0"/>
            <w:vAlign w:val="center"/>
          </w:tcPr>
          <w:p>
            <w:pPr>
              <w:pStyle w:val="17"/>
              <w:pageBreakBefore w:val="0"/>
              <w:widowControl w:val="0"/>
              <w:kinsoku/>
              <w:wordWrap/>
              <w:overflowPunct/>
              <w:topLinePunct w:val="0"/>
              <w:autoSpaceDE/>
              <w:autoSpaceDN/>
              <w:bidi w:val="0"/>
              <w:adjustRightInd/>
              <w:snapToGrid/>
              <w:spacing w:line="440" w:lineRule="exact"/>
              <w:jc w:val="center"/>
              <w:textAlignment w:val="auto"/>
              <w:rPr>
                <w:rFonts w:hint="eastAsia"/>
                <w:bCs/>
              </w:rPr>
            </w:pPr>
          </w:p>
        </w:tc>
        <w:tc>
          <w:tcPr>
            <w:tcW w:w="3509" w:type="dxa"/>
            <w:noWrap w:val="0"/>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bCs/>
              </w:rPr>
            </w:pPr>
          </w:p>
        </w:tc>
        <w:tc>
          <w:tcPr>
            <w:tcW w:w="1559" w:type="dxa"/>
            <w:noWrap w:val="0"/>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bCs/>
              </w:rPr>
            </w:pPr>
          </w:p>
        </w:tc>
        <w:tc>
          <w:tcPr>
            <w:tcW w:w="1449" w:type="dxa"/>
            <w:noWrap w:val="0"/>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25" w:type="dxa"/>
            <w:vMerge w:val="continue"/>
            <w:noWrap w:val="0"/>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bCs/>
              </w:rPr>
            </w:pPr>
          </w:p>
        </w:tc>
        <w:tc>
          <w:tcPr>
            <w:tcW w:w="3509" w:type="dxa"/>
            <w:noWrap w:val="0"/>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bCs/>
              </w:rPr>
            </w:pPr>
          </w:p>
        </w:tc>
        <w:tc>
          <w:tcPr>
            <w:tcW w:w="1559" w:type="dxa"/>
            <w:noWrap w:val="0"/>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bCs/>
              </w:rPr>
            </w:pPr>
          </w:p>
        </w:tc>
        <w:tc>
          <w:tcPr>
            <w:tcW w:w="1449" w:type="dxa"/>
            <w:noWrap w:val="0"/>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bCs/>
              </w:rPr>
            </w:pPr>
          </w:p>
        </w:tc>
      </w:tr>
    </w:tbl>
    <w:p>
      <w:pPr>
        <w:pStyle w:val="4"/>
        <w:pageBreakBefore w:val="0"/>
        <w:kinsoku/>
        <w:wordWrap/>
        <w:overflowPunct/>
        <w:topLinePunct w:val="0"/>
        <w:autoSpaceDE/>
        <w:autoSpaceDN/>
        <w:bidi w:val="0"/>
        <w:adjustRightInd/>
        <w:snapToGrid/>
        <w:spacing w:before="0" w:after="0" w:line="440" w:lineRule="exact"/>
        <w:ind w:firstLine="482" w:firstLineChars="200"/>
        <w:textAlignment w:val="auto"/>
        <w:rPr>
          <w:rFonts w:hint="eastAsia"/>
          <w:b w:val="0"/>
          <w:sz w:val="24"/>
          <w:szCs w:val="24"/>
          <w:lang w:eastAsia="zh-CN"/>
        </w:rPr>
      </w:pPr>
      <w:r>
        <w:rPr>
          <w:rFonts w:hint="eastAsia"/>
          <w:sz w:val="24"/>
          <w:szCs w:val="24"/>
        </w:rPr>
        <w:t>注</w:t>
      </w:r>
      <w:r>
        <w:rPr>
          <w:sz w:val="24"/>
          <w:szCs w:val="24"/>
        </w:rPr>
        <w:t>：</w:t>
      </w:r>
      <w:r>
        <w:rPr>
          <w:rFonts w:hint="eastAsia"/>
          <w:b w:val="0"/>
          <w:sz w:val="24"/>
          <w:szCs w:val="24"/>
        </w:rPr>
        <w:t xml:space="preserve"> </w:t>
      </w:r>
      <w:r>
        <w:rPr>
          <w:b w:val="0"/>
          <w:sz w:val="24"/>
          <w:szCs w:val="24"/>
        </w:rPr>
        <w:t>1</w:t>
      </w:r>
      <w:r>
        <w:rPr>
          <w:rFonts w:hint="eastAsia"/>
          <w:b w:val="0"/>
          <w:sz w:val="24"/>
          <w:szCs w:val="24"/>
        </w:rPr>
        <w:t>、委托人及</w:t>
      </w:r>
      <w:r>
        <w:rPr>
          <w:rFonts w:hint="eastAsia"/>
          <w:b w:val="0"/>
          <w:sz w:val="24"/>
          <w:szCs w:val="24"/>
          <w:lang w:eastAsia="zh-CN"/>
        </w:rPr>
        <w:t>咨询人需要提交其他资料</w:t>
      </w:r>
      <w:r>
        <w:rPr>
          <w:b w:val="0"/>
          <w:sz w:val="24"/>
          <w:szCs w:val="24"/>
        </w:rPr>
        <w:t>的可在</w:t>
      </w:r>
      <w:r>
        <w:rPr>
          <w:rFonts w:hint="eastAsia"/>
          <w:b w:val="0"/>
          <w:sz w:val="24"/>
          <w:szCs w:val="24"/>
          <w:lang w:eastAsia="zh-CN"/>
        </w:rPr>
        <w:t>空白</w:t>
      </w:r>
      <w:r>
        <w:rPr>
          <w:rFonts w:hint="eastAsia"/>
          <w:b w:val="0"/>
          <w:sz w:val="24"/>
          <w:szCs w:val="24"/>
        </w:rPr>
        <w:t>项</w:t>
      </w:r>
      <w:r>
        <w:rPr>
          <w:b w:val="0"/>
          <w:sz w:val="24"/>
          <w:szCs w:val="24"/>
        </w:rPr>
        <w:t>中列明。</w:t>
      </w:r>
    </w:p>
    <w:p>
      <w:pPr>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kern w:val="2"/>
          <w:sz w:val="28"/>
          <w:szCs w:val="28"/>
          <w:lang w:val="en-US" w:eastAsia="zh-CN" w:bidi="ar-SA"/>
        </w:rPr>
      </w:pPr>
      <w:r>
        <w:rPr>
          <w:rFonts w:hint="eastAsia"/>
          <w:lang w:eastAsia="zh-CN"/>
        </w:rPr>
        <w:t>（以下无正文）</w:t>
      </w:r>
      <w:bookmarkEnd w:id="32"/>
      <w:bookmarkStart w:id="172" w:name="_GoBack"/>
      <w:bookmarkEnd w:id="172"/>
    </w:p>
    <w:sectPr>
      <w:pgSz w:w="11906" w:h="16838"/>
      <w:pgMar w:top="1440" w:right="1803" w:bottom="1440" w:left="1803" w:header="851" w:footer="992" w:gutter="0"/>
      <w:cols w:space="0" w:num="1"/>
      <w:rtlGutter w:val="0"/>
      <w:docGrid w:type="lines" w:linePitch="33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AB106E0-273C-4DD6-B312-2D36954DFD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7335025-CB10-4900-B989-879D09B6B2B1}"/>
  </w:font>
  <w:font w:name="仿宋">
    <w:panose1 w:val="02010609060101010101"/>
    <w:charset w:val="86"/>
    <w:family w:val="modern"/>
    <w:pitch w:val="default"/>
    <w:sig w:usb0="800002BF" w:usb1="38CF7CFA" w:usb2="00000016" w:usb3="00000000" w:csb0="00040001" w:csb1="00000000"/>
    <w:embedRegular r:id="rId3" w:fontKey="{47C8B64B-4D7A-4776-8E3E-BA2589AD5839}"/>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embedRegular r:id="rId4" w:fontKey="{852266B3-AF21-4495-BA64-3CEAA68446B8}"/>
  </w:font>
  <w:font w:name="楷体">
    <w:panose1 w:val="02010609060101010101"/>
    <w:charset w:val="86"/>
    <w:family w:val="auto"/>
    <w:pitch w:val="default"/>
    <w:sig w:usb0="800002BF" w:usb1="38CF7CFA" w:usb2="00000016" w:usb3="00000000" w:csb0="00040001" w:csb1="00000000"/>
    <w:embedRegular r:id="rId5" w:fontKey="{B965B044-3C57-48E8-8BD9-1D18907F237F}"/>
  </w:font>
  <w:font w:name="方正小标宋简体">
    <w:panose1 w:val="02000000000000000000"/>
    <w:charset w:val="86"/>
    <w:family w:val="auto"/>
    <w:pitch w:val="default"/>
    <w:sig w:usb0="00000001" w:usb1="08000000" w:usb2="00000000" w:usb3="00000000" w:csb0="00040000" w:csb1="00000000"/>
    <w:embedRegular r:id="rId6" w:fontKey="{9219F1B9-4EFE-4D0B-8A7E-942D15EA3DC2}"/>
  </w:font>
  <w:font w:name="长城小标宋体">
    <w:altName w:val="宋体"/>
    <w:panose1 w:val="02010609010101010101"/>
    <w:charset w:val="00"/>
    <w:family w:val="auto"/>
    <w:pitch w:val="default"/>
    <w:sig w:usb0="00000000" w:usb1="00000000" w:usb2="00000000" w:usb3="00000000" w:csb0="00000000" w:csb1="00000000"/>
    <w:embedRegular r:id="rId7" w:fontKey="{45B0A12D-A7CA-483D-B0F3-450A1C517C41}"/>
  </w:font>
  <w:font w:name="仿宋_GB2312">
    <w:altName w:val="仿宋"/>
    <w:panose1 w:val="02010609030101010101"/>
    <w:charset w:val="86"/>
    <w:family w:val="modern"/>
    <w:pitch w:val="default"/>
    <w:sig w:usb0="00000000" w:usb1="00000000" w:usb2="00000000" w:usb3="00000000" w:csb0="00040000" w:csb1="00000000"/>
    <w:embedRegular r:id="rId8" w:fontKey="{71A8CADB-2FCE-4D51-A338-FA823F2E94E2}"/>
  </w:font>
  <w:font w:name="方正仿宋_GB2312">
    <w:panose1 w:val="02000000000000000000"/>
    <w:charset w:val="86"/>
    <w:family w:val="auto"/>
    <w:pitch w:val="default"/>
    <w:sig w:usb0="A00002BF" w:usb1="184F6CFA" w:usb2="00000012" w:usb3="00000000" w:csb0="00040001" w:csb1="00000000"/>
    <w:embedRegular r:id="rId9" w:fontKey="{2698860E-9DBF-41FE-A469-E55CC475A5F3}"/>
  </w:font>
  <w:font w:name="华文中宋">
    <w:panose1 w:val="02010600040101010101"/>
    <w:charset w:val="86"/>
    <w:family w:val="auto"/>
    <w:pitch w:val="default"/>
    <w:sig w:usb0="00000287" w:usb1="080F0000" w:usb2="00000000" w:usb3="00000000" w:csb0="0004009F" w:csb1="DFD70000"/>
    <w:embedRegular r:id="rId10" w:fontKey="{A68334EF-5BE9-4F82-AA37-AD4A6E76940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4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ind w:right="360"/>
                          </w:pPr>
                        </w:p>
                      </w:txbxContent>
                    </wps:txbx>
                    <wps:bodyPr wrap="none" lIns="0" tIns="0" rIns="0" bIns="0" upright="1">
                      <a:spAutoFit/>
                    </wps:bodyPr>
                  </wps:wsp>
                </a:graphicData>
              </a:graphic>
            </wp:anchor>
          </w:drawing>
        </mc:Choice>
        <mc:Fallback>
          <w:pict>
            <v:shape id="409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qZM6rsBAACgAwAADgAAAAAAAAABACAAAAAeAQAAZHJzL2Uyb0RvYy54bWxQSwUGAAAAAAYA&#10;BgBZAQAASwUAAAAA&#10;">
              <v:fill on="f" focussize="0,0"/>
              <v:stroke on="f"/>
              <v:imagedata o:title=""/>
              <o:lock v:ext="edit" aspectratio="f"/>
              <v:textbox inset="0mm,0mm,0mm,0mm" style="mso-fit-shape-to-text:t;">
                <w:txbxContent>
                  <w:p>
                    <w:pPr>
                      <w:pStyle w:val="12"/>
                      <w:ind w:right="36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13</w:t>
    </w:r>
    <w:r>
      <w:rPr>
        <w:lang w:val="zh-CN"/>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Times New Roman" w:hAnsi="Times New Roman" w:eastAsia="仿宋_GB2312"/>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spacing w:line="240" w:lineRule="auto"/>
      <w:ind w:firstLine="2880" w:firstLineChars="160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5EE06D"/>
    <w:multiLevelType w:val="singleLevel"/>
    <w:tmpl w:val="DE5EE06D"/>
    <w:lvl w:ilvl="0" w:tentative="0">
      <w:start w:val="1"/>
      <w:numFmt w:val="decimal"/>
      <w:suff w:val="nothing"/>
      <w:lvlText w:val="%1、"/>
      <w:lvlJc w:val="left"/>
    </w:lvl>
  </w:abstractNum>
  <w:abstractNum w:abstractNumId="1">
    <w:nsid w:val="00EAEE1A"/>
    <w:multiLevelType w:val="singleLevel"/>
    <w:tmpl w:val="00EAEE1A"/>
    <w:lvl w:ilvl="0" w:tentative="0">
      <w:start w:val="2"/>
      <w:numFmt w:val="chineseCounting"/>
      <w:suff w:val="nothing"/>
      <w:lvlText w:val="%1、"/>
      <w:lvlJc w:val="left"/>
      <w:rPr>
        <w:rFonts w:hint="eastAsia"/>
      </w:rPr>
    </w:lvl>
  </w:abstractNum>
  <w:abstractNum w:abstractNumId="2">
    <w:nsid w:val="30DCF9CC"/>
    <w:multiLevelType w:val="singleLevel"/>
    <w:tmpl w:val="30DCF9CC"/>
    <w:lvl w:ilvl="0" w:tentative="0">
      <w:start w:val="1"/>
      <w:numFmt w:val="decimal"/>
      <w:lvlText w:val="%1."/>
      <w:lvlJc w:val="left"/>
      <w:pPr>
        <w:tabs>
          <w:tab w:val="left" w:pos="312"/>
        </w:tabs>
      </w:pPr>
    </w:lvl>
  </w:abstractNum>
  <w:abstractNum w:abstractNumId="3">
    <w:nsid w:val="413E1FF1"/>
    <w:multiLevelType w:val="singleLevel"/>
    <w:tmpl w:val="413E1FF1"/>
    <w:lvl w:ilvl="0" w:tentative="0">
      <w:start w:val="3"/>
      <w:numFmt w:val="chineseCounting"/>
      <w:suff w:val="nothing"/>
      <w:lvlText w:val="（%1）"/>
      <w:lvlJc w:val="left"/>
      <w:rPr>
        <w:rFonts w:hint="eastAsia"/>
      </w:rPr>
    </w:lvl>
  </w:abstractNum>
  <w:abstractNum w:abstractNumId="4">
    <w:nsid w:val="78691E9E"/>
    <w:multiLevelType w:val="multilevel"/>
    <w:tmpl w:val="78691E9E"/>
    <w:lvl w:ilvl="0" w:tentative="0">
      <w:start w:val="1"/>
      <w:numFmt w:val="chineseCountingThousand"/>
      <w:suff w:val="space"/>
      <w:lvlText w:val="%1. "/>
      <w:lvlJc w:val="left"/>
      <w:pPr>
        <w:ind w:left="907" w:hanging="907"/>
      </w:pPr>
      <w:rPr>
        <w:rFonts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6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0304"/>
    <w:rsid w:val="00220765"/>
    <w:rsid w:val="00341F83"/>
    <w:rsid w:val="00351EEB"/>
    <w:rsid w:val="00494F80"/>
    <w:rsid w:val="004B2654"/>
    <w:rsid w:val="005253B5"/>
    <w:rsid w:val="00621CED"/>
    <w:rsid w:val="006B4FFF"/>
    <w:rsid w:val="008E2F76"/>
    <w:rsid w:val="009169F7"/>
    <w:rsid w:val="00AC389D"/>
    <w:rsid w:val="00C37F0F"/>
    <w:rsid w:val="00E559B8"/>
    <w:rsid w:val="01066A48"/>
    <w:rsid w:val="0113134A"/>
    <w:rsid w:val="014878EA"/>
    <w:rsid w:val="015A3681"/>
    <w:rsid w:val="01786F95"/>
    <w:rsid w:val="017F3C86"/>
    <w:rsid w:val="01822A0A"/>
    <w:rsid w:val="018748A7"/>
    <w:rsid w:val="019B0C40"/>
    <w:rsid w:val="01BF1B27"/>
    <w:rsid w:val="01C11638"/>
    <w:rsid w:val="01D9132C"/>
    <w:rsid w:val="02075C5E"/>
    <w:rsid w:val="02220604"/>
    <w:rsid w:val="025C06B5"/>
    <w:rsid w:val="02652D6A"/>
    <w:rsid w:val="02A15115"/>
    <w:rsid w:val="02B306AA"/>
    <w:rsid w:val="02D30E0F"/>
    <w:rsid w:val="03013E95"/>
    <w:rsid w:val="030622D8"/>
    <w:rsid w:val="036E7C5D"/>
    <w:rsid w:val="038D5B37"/>
    <w:rsid w:val="03920F36"/>
    <w:rsid w:val="03A82A72"/>
    <w:rsid w:val="03C133F7"/>
    <w:rsid w:val="03C51372"/>
    <w:rsid w:val="03D04DA6"/>
    <w:rsid w:val="03D34C80"/>
    <w:rsid w:val="04AD49F3"/>
    <w:rsid w:val="04F334C3"/>
    <w:rsid w:val="052D1304"/>
    <w:rsid w:val="05994282"/>
    <w:rsid w:val="05B65D99"/>
    <w:rsid w:val="05CD4E65"/>
    <w:rsid w:val="05F854B0"/>
    <w:rsid w:val="064D5CC7"/>
    <w:rsid w:val="065831C8"/>
    <w:rsid w:val="0677282E"/>
    <w:rsid w:val="069B4643"/>
    <w:rsid w:val="06B426B3"/>
    <w:rsid w:val="072741FA"/>
    <w:rsid w:val="07432E43"/>
    <w:rsid w:val="07641A97"/>
    <w:rsid w:val="07A430D2"/>
    <w:rsid w:val="07C81BBD"/>
    <w:rsid w:val="07F515FF"/>
    <w:rsid w:val="081B6483"/>
    <w:rsid w:val="08AF772E"/>
    <w:rsid w:val="09513458"/>
    <w:rsid w:val="096763FD"/>
    <w:rsid w:val="09ED1DE8"/>
    <w:rsid w:val="09FF1E0C"/>
    <w:rsid w:val="0A5B4A4F"/>
    <w:rsid w:val="0ADB73D4"/>
    <w:rsid w:val="0B460300"/>
    <w:rsid w:val="0B5A2521"/>
    <w:rsid w:val="0B994118"/>
    <w:rsid w:val="0BAC5C4F"/>
    <w:rsid w:val="0BB11D98"/>
    <w:rsid w:val="0BC92E8F"/>
    <w:rsid w:val="0BD2616F"/>
    <w:rsid w:val="0BE87646"/>
    <w:rsid w:val="0C5228D6"/>
    <w:rsid w:val="0CFB7A22"/>
    <w:rsid w:val="0CFE3C54"/>
    <w:rsid w:val="0D1E6538"/>
    <w:rsid w:val="0D5F6239"/>
    <w:rsid w:val="0D8D58A5"/>
    <w:rsid w:val="0DD3168B"/>
    <w:rsid w:val="0DE1721D"/>
    <w:rsid w:val="0DF56898"/>
    <w:rsid w:val="0E737630"/>
    <w:rsid w:val="0E914A8A"/>
    <w:rsid w:val="0EE7610B"/>
    <w:rsid w:val="0EE84C6D"/>
    <w:rsid w:val="0FB00067"/>
    <w:rsid w:val="0FD70D8B"/>
    <w:rsid w:val="0FDE08B7"/>
    <w:rsid w:val="10204C74"/>
    <w:rsid w:val="106D047B"/>
    <w:rsid w:val="107C200F"/>
    <w:rsid w:val="10A31493"/>
    <w:rsid w:val="10B2224F"/>
    <w:rsid w:val="10B4107A"/>
    <w:rsid w:val="10CA47A8"/>
    <w:rsid w:val="10D327A7"/>
    <w:rsid w:val="111268CE"/>
    <w:rsid w:val="113E1C46"/>
    <w:rsid w:val="113E2F49"/>
    <w:rsid w:val="11C27F47"/>
    <w:rsid w:val="11CE448C"/>
    <w:rsid w:val="1203031E"/>
    <w:rsid w:val="121B45FC"/>
    <w:rsid w:val="12464EE2"/>
    <w:rsid w:val="125137DB"/>
    <w:rsid w:val="126F4F48"/>
    <w:rsid w:val="12810B7F"/>
    <w:rsid w:val="129D35C0"/>
    <w:rsid w:val="12AA4C66"/>
    <w:rsid w:val="131F0C15"/>
    <w:rsid w:val="13264FB4"/>
    <w:rsid w:val="13443936"/>
    <w:rsid w:val="135977D0"/>
    <w:rsid w:val="136031D0"/>
    <w:rsid w:val="138C4637"/>
    <w:rsid w:val="14065AF1"/>
    <w:rsid w:val="142C1F06"/>
    <w:rsid w:val="14370130"/>
    <w:rsid w:val="143C6C41"/>
    <w:rsid w:val="143E3104"/>
    <w:rsid w:val="14762A87"/>
    <w:rsid w:val="147D627E"/>
    <w:rsid w:val="14D86307"/>
    <w:rsid w:val="14EC3331"/>
    <w:rsid w:val="14FD66C1"/>
    <w:rsid w:val="15074FF9"/>
    <w:rsid w:val="150B47C4"/>
    <w:rsid w:val="152930C8"/>
    <w:rsid w:val="15294794"/>
    <w:rsid w:val="153614EF"/>
    <w:rsid w:val="155C588F"/>
    <w:rsid w:val="156C6787"/>
    <w:rsid w:val="1578516E"/>
    <w:rsid w:val="15920901"/>
    <w:rsid w:val="15AE7B46"/>
    <w:rsid w:val="15DE02E6"/>
    <w:rsid w:val="15F4633E"/>
    <w:rsid w:val="16081713"/>
    <w:rsid w:val="160F1065"/>
    <w:rsid w:val="16552941"/>
    <w:rsid w:val="16874373"/>
    <w:rsid w:val="16A005C6"/>
    <w:rsid w:val="16CE7021"/>
    <w:rsid w:val="16D81A8D"/>
    <w:rsid w:val="17424CEC"/>
    <w:rsid w:val="17426FEA"/>
    <w:rsid w:val="17464D2B"/>
    <w:rsid w:val="17675392"/>
    <w:rsid w:val="176A688E"/>
    <w:rsid w:val="17812DC0"/>
    <w:rsid w:val="17C237DB"/>
    <w:rsid w:val="17F81866"/>
    <w:rsid w:val="18044E22"/>
    <w:rsid w:val="180C4445"/>
    <w:rsid w:val="18207FF7"/>
    <w:rsid w:val="182E0430"/>
    <w:rsid w:val="18416561"/>
    <w:rsid w:val="18421B4A"/>
    <w:rsid w:val="18436382"/>
    <w:rsid w:val="18707FD0"/>
    <w:rsid w:val="18755604"/>
    <w:rsid w:val="188C18B2"/>
    <w:rsid w:val="188D1E68"/>
    <w:rsid w:val="189A0B59"/>
    <w:rsid w:val="191A5ACE"/>
    <w:rsid w:val="19357227"/>
    <w:rsid w:val="1A050AEE"/>
    <w:rsid w:val="1A1577A1"/>
    <w:rsid w:val="1A1C1A04"/>
    <w:rsid w:val="1A5968B2"/>
    <w:rsid w:val="1A7020EC"/>
    <w:rsid w:val="1A9C3458"/>
    <w:rsid w:val="1AA8606F"/>
    <w:rsid w:val="1ABF3A50"/>
    <w:rsid w:val="1AD02862"/>
    <w:rsid w:val="1B177392"/>
    <w:rsid w:val="1B1E02AF"/>
    <w:rsid w:val="1B1E299F"/>
    <w:rsid w:val="1B3C35C1"/>
    <w:rsid w:val="1B9529FC"/>
    <w:rsid w:val="1B9C6F47"/>
    <w:rsid w:val="1BAE4FDE"/>
    <w:rsid w:val="1BB516F5"/>
    <w:rsid w:val="1BEA35F0"/>
    <w:rsid w:val="1C220CAD"/>
    <w:rsid w:val="1C5D1BB0"/>
    <w:rsid w:val="1C6E0A2B"/>
    <w:rsid w:val="1C781A2E"/>
    <w:rsid w:val="1C943711"/>
    <w:rsid w:val="1D423205"/>
    <w:rsid w:val="1D4E2431"/>
    <w:rsid w:val="1D6B2BB8"/>
    <w:rsid w:val="1D862245"/>
    <w:rsid w:val="1D8B4E9B"/>
    <w:rsid w:val="1DA307CE"/>
    <w:rsid w:val="1DC93504"/>
    <w:rsid w:val="1DF4374E"/>
    <w:rsid w:val="1E9F0AF6"/>
    <w:rsid w:val="1ED550FA"/>
    <w:rsid w:val="1F096EAB"/>
    <w:rsid w:val="1F515D05"/>
    <w:rsid w:val="1F592B0C"/>
    <w:rsid w:val="1F6275AA"/>
    <w:rsid w:val="1F693126"/>
    <w:rsid w:val="1FA41167"/>
    <w:rsid w:val="20044634"/>
    <w:rsid w:val="20512284"/>
    <w:rsid w:val="20826DDC"/>
    <w:rsid w:val="20D23E71"/>
    <w:rsid w:val="21000B6A"/>
    <w:rsid w:val="210C7521"/>
    <w:rsid w:val="213364EE"/>
    <w:rsid w:val="21582D02"/>
    <w:rsid w:val="2163037A"/>
    <w:rsid w:val="217E721A"/>
    <w:rsid w:val="219E3979"/>
    <w:rsid w:val="21BB6282"/>
    <w:rsid w:val="21C730B5"/>
    <w:rsid w:val="22425CB5"/>
    <w:rsid w:val="2245147B"/>
    <w:rsid w:val="22550784"/>
    <w:rsid w:val="226F5475"/>
    <w:rsid w:val="227D4819"/>
    <w:rsid w:val="22A10EA4"/>
    <w:rsid w:val="22A47EDD"/>
    <w:rsid w:val="22FD67D9"/>
    <w:rsid w:val="233D2CF2"/>
    <w:rsid w:val="238E489E"/>
    <w:rsid w:val="23AF2EC4"/>
    <w:rsid w:val="23E40E1E"/>
    <w:rsid w:val="23EF7E11"/>
    <w:rsid w:val="24234D42"/>
    <w:rsid w:val="24397C37"/>
    <w:rsid w:val="247B78A9"/>
    <w:rsid w:val="24972D61"/>
    <w:rsid w:val="24DE4890"/>
    <w:rsid w:val="24E33266"/>
    <w:rsid w:val="252673B3"/>
    <w:rsid w:val="25517796"/>
    <w:rsid w:val="25760635"/>
    <w:rsid w:val="257D0261"/>
    <w:rsid w:val="25F103DC"/>
    <w:rsid w:val="2608120C"/>
    <w:rsid w:val="26230181"/>
    <w:rsid w:val="264372E7"/>
    <w:rsid w:val="265030AB"/>
    <w:rsid w:val="267F771A"/>
    <w:rsid w:val="2683194F"/>
    <w:rsid w:val="26FF459A"/>
    <w:rsid w:val="273877A6"/>
    <w:rsid w:val="277B098A"/>
    <w:rsid w:val="277F5218"/>
    <w:rsid w:val="27972869"/>
    <w:rsid w:val="279C1252"/>
    <w:rsid w:val="27E45F82"/>
    <w:rsid w:val="27ED049B"/>
    <w:rsid w:val="28113347"/>
    <w:rsid w:val="281D09C6"/>
    <w:rsid w:val="281E4DAD"/>
    <w:rsid w:val="283476F9"/>
    <w:rsid w:val="2840111D"/>
    <w:rsid w:val="284848CF"/>
    <w:rsid w:val="284C1A59"/>
    <w:rsid w:val="289A0B97"/>
    <w:rsid w:val="28B6110D"/>
    <w:rsid w:val="28F0563F"/>
    <w:rsid w:val="293B7D70"/>
    <w:rsid w:val="29597230"/>
    <w:rsid w:val="29963A8B"/>
    <w:rsid w:val="29C00B44"/>
    <w:rsid w:val="29DA55B5"/>
    <w:rsid w:val="29F85B23"/>
    <w:rsid w:val="2AC66B17"/>
    <w:rsid w:val="2AF51088"/>
    <w:rsid w:val="2B816A72"/>
    <w:rsid w:val="2B8C27E2"/>
    <w:rsid w:val="2B932458"/>
    <w:rsid w:val="2B946D9A"/>
    <w:rsid w:val="2BA22D9E"/>
    <w:rsid w:val="2BD612C4"/>
    <w:rsid w:val="2BEE6E66"/>
    <w:rsid w:val="2C0A05D8"/>
    <w:rsid w:val="2C3456A7"/>
    <w:rsid w:val="2C456C1B"/>
    <w:rsid w:val="2CA60DF2"/>
    <w:rsid w:val="2CC1157E"/>
    <w:rsid w:val="2CC20E36"/>
    <w:rsid w:val="2CCB0003"/>
    <w:rsid w:val="2CD23AFF"/>
    <w:rsid w:val="2D1B085D"/>
    <w:rsid w:val="2D1C0D99"/>
    <w:rsid w:val="2D7034F0"/>
    <w:rsid w:val="2D8A4FFE"/>
    <w:rsid w:val="2D9F6EF8"/>
    <w:rsid w:val="2E03777C"/>
    <w:rsid w:val="2E3F3673"/>
    <w:rsid w:val="2E5F2AB4"/>
    <w:rsid w:val="2E784919"/>
    <w:rsid w:val="2EA66B7A"/>
    <w:rsid w:val="2ECD351D"/>
    <w:rsid w:val="2F012EA2"/>
    <w:rsid w:val="2F3C35C1"/>
    <w:rsid w:val="2F573C76"/>
    <w:rsid w:val="2F575EFC"/>
    <w:rsid w:val="2F671243"/>
    <w:rsid w:val="2F967065"/>
    <w:rsid w:val="300734A2"/>
    <w:rsid w:val="30191A45"/>
    <w:rsid w:val="303D6CD2"/>
    <w:rsid w:val="30891CE5"/>
    <w:rsid w:val="31013325"/>
    <w:rsid w:val="311A34FF"/>
    <w:rsid w:val="31214E8B"/>
    <w:rsid w:val="31496C6E"/>
    <w:rsid w:val="314B5DD1"/>
    <w:rsid w:val="31661485"/>
    <w:rsid w:val="318269C0"/>
    <w:rsid w:val="318948DE"/>
    <w:rsid w:val="318C09D7"/>
    <w:rsid w:val="319E1BA3"/>
    <w:rsid w:val="32072369"/>
    <w:rsid w:val="32483728"/>
    <w:rsid w:val="327046D2"/>
    <w:rsid w:val="32716B69"/>
    <w:rsid w:val="32987552"/>
    <w:rsid w:val="329A6E6D"/>
    <w:rsid w:val="32B807FF"/>
    <w:rsid w:val="32C0264B"/>
    <w:rsid w:val="32DD2CEC"/>
    <w:rsid w:val="32E21EFE"/>
    <w:rsid w:val="32F21C1A"/>
    <w:rsid w:val="32F25D30"/>
    <w:rsid w:val="330003FD"/>
    <w:rsid w:val="33091129"/>
    <w:rsid w:val="332420C3"/>
    <w:rsid w:val="333565FE"/>
    <w:rsid w:val="334101C8"/>
    <w:rsid w:val="3395704B"/>
    <w:rsid w:val="33974CED"/>
    <w:rsid w:val="33D90246"/>
    <w:rsid w:val="33FF6F0E"/>
    <w:rsid w:val="342E5AE8"/>
    <w:rsid w:val="34427281"/>
    <w:rsid w:val="347A6956"/>
    <w:rsid w:val="34A12D40"/>
    <w:rsid w:val="34E14C6E"/>
    <w:rsid w:val="352D2403"/>
    <w:rsid w:val="35731C19"/>
    <w:rsid w:val="35784613"/>
    <w:rsid w:val="359F35C8"/>
    <w:rsid w:val="35B11EED"/>
    <w:rsid w:val="35B61F13"/>
    <w:rsid w:val="35ED143B"/>
    <w:rsid w:val="360103B6"/>
    <w:rsid w:val="3622136A"/>
    <w:rsid w:val="36260715"/>
    <w:rsid w:val="367D0F7F"/>
    <w:rsid w:val="36891839"/>
    <w:rsid w:val="36AD0B86"/>
    <w:rsid w:val="36C377A0"/>
    <w:rsid w:val="36E44BB8"/>
    <w:rsid w:val="36E4677F"/>
    <w:rsid w:val="36E55525"/>
    <w:rsid w:val="37104042"/>
    <w:rsid w:val="374762B5"/>
    <w:rsid w:val="374855EC"/>
    <w:rsid w:val="37551275"/>
    <w:rsid w:val="37595FC3"/>
    <w:rsid w:val="378F5F2C"/>
    <w:rsid w:val="37A57C43"/>
    <w:rsid w:val="37D75E5F"/>
    <w:rsid w:val="38102589"/>
    <w:rsid w:val="38563DEE"/>
    <w:rsid w:val="38600585"/>
    <w:rsid w:val="386A65E6"/>
    <w:rsid w:val="386F61FF"/>
    <w:rsid w:val="38BD76FF"/>
    <w:rsid w:val="38BE4401"/>
    <w:rsid w:val="38BF3443"/>
    <w:rsid w:val="38FC1339"/>
    <w:rsid w:val="38FF35DB"/>
    <w:rsid w:val="396B3FDB"/>
    <w:rsid w:val="39B51E3E"/>
    <w:rsid w:val="39C221D0"/>
    <w:rsid w:val="39D157D6"/>
    <w:rsid w:val="39D203A7"/>
    <w:rsid w:val="39E41CD4"/>
    <w:rsid w:val="3A0D2792"/>
    <w:rsid w:val="3A2A3C3D"/>
    <w:rsid w:val="3A5226CE"/>
    <w:rsid w:val="3A532FD6"/>
    <w:rsid w:val="3A544207"/>
    <w:rsid w:val="3A89349D"/>
    <w:rsid w:val="3A9577A0"/>
    <w:rsid w:val="3A96278F"/>
    <w:rsid w:val="3AB7558A"/>
    <w:rsid w:val="3ACC7E1B"/>
    <w:rsid w:val="3AD409EF"/>
    <w:rsid w:val="3B0C5B8A"/>
    <w:rsid w:val="3B12118A"/>
    <w:rsid w:val="3B1A6F5D"/>
    <w:rsid w:val="3B1D3166"/>
    <w:rsid w:val="3B2E5004"/>
    <w:rsid w:val="3B36648A"/>
    <w:rsid w:val="3B3D739B"/>
    <w:rsid w:val="3B3F44FD"/>
    <w:rsid w:val="3B452193"/>
    <w:rsid w:val="3B800141"/>
    <w:rsid w:val="3B85771B"/>
    <w:rsid w:val="3B9D722A"/>
    <w:rsid w:val="3BED0723"/>
    <w:rsid w:val="3BFC5F13"/>
    <w:rsid w:val="3C00750E"/>
    <w:rsid w:val="3C06343B"/>
    <w:rsid w:val="3C092987"/>
    <w:rsid w:val="3C2174D4"/>
    <w:rsid w:val="3C3A347D"/>
    <w:rsid w:val="3C3C63C2"/>
    <w:rsid w:val="3C3E1180"/>
    <w:rsid w:val="3C7D53B6"/>
    <w:rsid w:val="3C9616EF"/>
    <w:rsid w:val="3CDC1D7A"/>
    <w:rsid w:val="3D0978AF"/>
    <w:rsid w:val="3D6C62CA"/>
    <w:rsid w:val="3D8C4568"/>
    <w:rsid w:val="3D8D7CF5"/>
    <w:rsid w:val="3DE42E5F"/>
    <w:rsid w:val="3DEB40F0"/>
    <w:rsid w:val="3E054FE4"/>
    <w:rsid w:val="3E38301B"/>
    <w:rsid w:val="3E761272"/>
    <w:rsid w:val="3E775D8E"/>
    <w:rsid w:val="3E8C543B"/>
    <w:rsid w:val="3E97321A"/>
    <w:rsid w:val="3EA12101"/>
    <w:rsid w:val="3EE57BAE"/>
    <w:rsid w:val="3F2F4242"/>
    <w:rsid w:val="3F5C0582"/>
    <w:rsid w:val="3F787BD3"/>
    <w:rsid w:val="3F8B6862"/>
    <w:rsid w:val="3F9F692B"/>
    <w:rsid w:val="3FAF60DF"/>
    <w:rsid w:val="3FAF732F"/>
    <w:rsid w:val="3FEA43DA"/>
    <w:rsid w:val="40080CA7"/>
    <w:rsid w:val="402D4B8D"/>
    <w:rsid w:val="40466BB5"/>
    <w:rsid w:val="404E3A7D"/>
    <w:rsid w:val="405D1BB7"/>
    <w:rsid w:val="40F5767C"/>
    <w:rsid w:val="410621E4"/>
    <w:rsid w:val="412D67DF"/>
    <w:rsid w:val="41403840"/>
    <w:rsid w:val="418812C7"/>
    <w:rsid w:val="41C80D4A"/>
    <w:rsid w:val="41D06A97"/>
    <w:rsid w:val="41FE05BE"/>
    <w:rsid w:val="42221AAD"/>
    <w:rsid w:val="42422492"/>
    <w:rsid w:val="424D1034"/>
    <w:rsid w:val="425445BF"/>
    <w:rsid w:val="42844FC4"/>
    <w:rsid w:val="42BD61BD"/>
    <w:rsid w:val="42F62B51"/>
    <w:rsid w:val="43314EDD"/>
    <w:rsid w:val="4341376D"/>
    <w:rsid w:val="43650625"/>
    <w:rsid w:val="438D1004"/>
    <w:rsid w:val="43E73F6A"/>
    <w:rsid w:val="43F5419F"/>
    <w:rsid w:val="440A1F81"/>
    <w:rsid w:val="444365F5"/>
    <w:rsid w:val="44811355"/>
    <w:rsid w:val="449B17B0"/>
    <w:rsid w:val="44AD7DAF"/>
    <w:rsid w:val="44E112C9"/>
    <w:rsid w:val="452417A9"/>
    <w:rsid w:val="45446E95"/>
    <w:rsid w:val="45733F34"/>
    <w:rsid w:val="459A4CFD"/>
    <w:rsid w:val="45DD073F"/>
    <w:rsid w:val="45DE1009"/>
    <w:rsid w:val="45F442BA"/>
    <w:rsid w:val="460B6C40"/>
    <w:rsid w:val="46146ADE"/>
    <w:rsid w:val="461F6951"/>
    <w:rsid w:val="46687912"/>
    <w:rsid w:val="46A34317"/>
    <w:rsid w:val="46D81A7A"/>
    <w:rsid w:val="46DD1500"/>
    <w:rsid w:val="47062572"/>
    <w:rsid w:val="47081DF4"/>
    <w:rsid w:val="472C5562"/>
    <w:rsid w:val="4743693D"/>
    <w:rsid w:val="47476B12"/>
    <w:rsid w:val="477635FA"/>
    <w:rsid w:val="478857F5"/>
    <w:rsid w:val="47894AAE"/>
    <w:rsid w:val="47D64C6B"/>
    <w:rsid w:val="482D5A0D"/>
    <w:rsid w:val="484109AB"/>
    <w:rsid w:val="485B2C0C"/>
    <w:rsid w:val="48747B33"/>
    <w:rsid w:val="48F23095"/>
    <w:rsid w:val="493076EA"/>
    <w:rsid w:val="494A2982"/>
    <w:rsid w:val="49A517C5"/>
    <w:rsid w:val="49A74F30"/>
    <w:rsid w:val="49D11502"/>
    <w:rsid w:val="4A164F10"/>
    <w:rsid w:val="4A5D4942"/>
    <w:rsid w:val="4A6242BC"/>
    <w:rsid w:val="4A7871BE"/>
    <w:rsid w:val="4ACD3996"/>
    <w:rsid w:val="4AE138E0"/>
    <w:rsid w:val="4B2D732D"/>
    <w:rsid w:val="4B3B23B8"/>
    <w:rsid w:val="4B4D45DE"/>
    <w:rsid w:val="4B6D3B7D"/>
    <w:rsid w:val="4BF474B2"/>
    <w:rsid w:val="4C170BB5"/>
    <w:rsid w:val="4C637902"/>
    <w:rsid w:val="4C66300C"/>
    <w:rsid w:val="4CB12BDB"/>
    <w:rsid w:val="4CBF4F7E"/>
    <w:rsid w:val="4CC95A59"/>
    <w:rsid w:val="4D014F4B"/>
    <w:rsid w:val="4D111EBF"/>
    <w:rsid w:val="4D36558C"/>
    <w:rsid w:val="4D446EA4"/>
    <w:rsid w:val="4DA81EFF"/>
    <w:rsid w:val="4DCA1406"/>
    <w:rsid w:val="4DD8569D"/>
    <w:rsid w:val="4DD91195"/>
    <w:rsid w:val="4DE71A4E"/>
    <w:rsid w:val="4E014DC3"/>
    <w:rsid w:val="4E042157"/>
    <w:rsid w:val="4E1E7B92"/>
    <w:rsid w:val="4E5B6D52"/>
    <w:rsid w:val="4E637062"/>
    <w:rsid w:val="4E6455A3"/>
    <w:rsid w:val="4EC922AE"/>
    <w:rsid w:val="4ED87A95"/>
    <w:rsid w:val="4EEB2924"/>
    <w:rsid w:val="4F351180"/>
    <w:rsid w:val="4F43760A"/>
    <w:rsid w:val="4F53799D"/>
    <w:rsid w:val="4F9E148F"/>
    <w:rsid w:val="4FA10B0A"/>
    <w:rsid w:val="4FC710E0"/>
    <w:rsid w:val="4FCA6347"/>
    <w:rsid w:val="4FDA6F6F"/>
    <w:rsid w:val="4FE416A0"/>
    <w:rsid w:val="50825682"/>
    <w:rsid w:val="508930C3"/>
    <w:rsid w:val="50933EF4"/>
    <w:rsid w:val="509F1309"/>
    <w:rsid w:val="50AC6C11"/>
    <w:rsid w:val="50DC1645"/>
    <w:rsid w:val="51302C8A"/>
    <w:rsid w:val="513347BD"/>
    <w:rsid w:val="51777737"/>
    <w:rsid w:val="51817040"/>
    <w:rsid w:val="51860AA0"/>
    <w:rsid w:val="518D0329"/>
    <w:rsid w:val="51AC2E10"/>
    <w:rsid w:val="51C97E41"/>
    <w:rsid w:val="51F87023"/>
    <w:rsid w:val="52AF0956"/>
    <w:rsid w:val="52CD4415"/>
    <w:rsid w:val="53152CF3"/>
    <w:rsid w:val="534E5277"/>
    <w:rsid w:val="5398198C"/>
    <w:rsid w:val="53BC13C0"/>
    <w:rsid w:val="53CB05B0"/>
    <w:rsid w:val="54013A79"/>
    <w:rsid w:val="54301991"/>
    <w:rsid w:val="543138E1"/>
    <w:rsid w:val="543E1D50"/>
    <w:rsid w:val="54472434"/>
    <w:rsid w:val="54627561"/>
    <w:rsid w:val="54694AFE"/>
    <w:rsid w:val="547424E0"/>
    <w:rsid w:val="54EB1721"/>
    <w:rsid w:val="54F3718A"/>
    <w:rsid w:val="550E76EC"/>
    <w:rsid w:val="55687CF0"/>
    <w:rsid w:val="55966A67"/>
    <w:rsid w:val="55A87A93"/>
    <w:rsid w:val="55C634F4"/>
    <w:rsid w:val="55ED2BED"/>
    <w:rsid w:val="55FC33A1"/>
    <w:rsid w:val="56270487"/>
    <w:rsid w:val="565B013C"/>
    <w:rsid w:val="56757903"/>
    <w:rsid w:val="57104E15"/>
    <w:rsid w:val="57111973"/>
    <w:rsid w:val="575773DD"/>
    <w:rsid w:val="577D2054"/>
    <w:rsid w:val="57903FC2"/>
    <w:rsid w:val="57AB386C"/>
    <w:rsid w:val="57F00FC1"/>
    <w:rsid w:val="580E7773"/>
    <w:rsid w:val="58246B64"/>
    <w:rsid w:val="584A2F15"/>
    <w:rsid w:val="587F4DA6"/>
    <w:rsid w:val="58845B03"/>
    <w:rsid w:val="589E35AA"/>
    <w:rsid w:val="58E40E5E"/>
    <w:rsid w:val="58EF7F6B"/>
    <w:rsid w:val="59303196"/>
    <w:rsid w:val="59311F82"/>
    <w:rsid w:val="594E5819"/>
    <w:rsid w:val="599351DD"/>
    <w:rsid w:val="59961862"/>
    <w:rsid w:val="59976EE9"/>
    <w:rsid w:val="59AA515D"/>
    <w:rsid w:val="59AB7E9C"/>
    <w:rsid w:val="59E344D4"/>
    <w:rsid w:val="59F1060F"/>
    <w:rsid w:val="5A0D4B37"/>
    <w:rsid w:val="5A0F752C"/>
    <w:rsid w:val="5A1F5FA3"/>
    <w:rsid w:val="5A7C4ACF"/>
    <w:rsid w:val="5A8557FC"/>
    <w:rsid w:val="5A954CC6"/>
    <w:rsid w:val="5ADB4D4E"/>
    <w:rsid w:val="5AFD1118"/>
    <w:rsid w:val="5B214966"/>
    <w:rsid w:val="5B2F42DE"/>
    <w:rsid w:val="5B3A2106"/>
    <w:rsid w:val="5B512C4F"/>
    <w:rsid w:val="5B5A1DBB"/>
    <w:rsid w:val="5B7471AB"/>
    <w:rsid w:val="5BA0600B"/>
    <w:rsid w:val="5BC15AC3"/>
    <w:rsid w:val="5BDA41DC"/>
    <w:rsid w:val="5C013209"/>
    <w:rsid w:val="5C97635D"/>
    <w:rsid w:val="5CB01B2D"/>
    <w:rsid w:val="5CBF5BB2"/>
    <w:rsid w:val="5CD15681"/>
    <w:rsid w:val="5CF83F01"/>
    <w:rsid w:val="5D4E7AFE"/>
    <w:rsid w:val="5DC32E70"/>
    <w:rsid w:val="5DCF1E63"/>
    <w:rsid w:val="5DDA1080"/>
    <w:rsid w:val="5DDF7880"/>
    <w:rsid w:val="5DFA775E"/>
    <w:rsid w:val="5E0C0258"/>
    <w:rsid w:val="5E133B24"/>
    <w:rsid w:val="5E2C4BD4"/>
    <w:rsid w:val="5E424193"/>
    <w:rsid w:val="5EB841D9"/>
    <w:rsid w:val="5EE24C3D"/>
    <w:rsid w:val="5EEE082D"/>
    <w:rsid w:val="5F516AC6"/>
    <w:rsid w:val="5F961CC6"/>
    <w:rsid w:val="5FCA6909"/>
    <w:rsid w:val="5FFE0E01"/>
    <w:rsid w:val="600147EE"/>
    <w:rsid w:val="604B0BEF"/>
    <w:rsid w:val="6084268E"/>
    <w:rsid w:val="609C3AD4"/>
    <w:rsid w:val="610C59E8"/>
    <w:rsid w:val="612856B1"/>
    <w:rsid w:val="61444B6A"/>
    <w:rsid w:val="616858C3"/>
    <w:rsid w:val="61693FC7"/>
    <w:rsid w:val="6173477E"/>
    <w:rsid w:val="61C51C05"/>
    <w:rsid w:val="62285242"/>
    <w:rsid w:val="623B6DAA"/>
    <w:rsid w:val="625421D3"/>
    <w:rsid w:val="6254288E"/>
    <w:rsid w:val="62707C45"/>
    <w:rsid w:val="627F11F4"/>
    <w:rsid w:val="62956E85"/>
    <w:rsid w:val="62CC79F7"/>
    <w:rsid w:val="62F24D85"/>
    <w:rsid w:val="62F600F4"/>
    <w:rsid w:val="62F74C9B"/>
    <w:rsid w:val="62FE57E5"/>
    <w:rsid w:val="63013963"/>
    <w:rsid w:val="633011A2"/>
    <w:rsid w:val="63360AB3"/>
    <w:rsid w:val="635E3293"/>
    <w:rsid w:val="63A16A99"/>
    <w:rsid w:val="63A93E88"/>
    <w:rsid w:val="63AF7CB9"/>
    <w:rsid w:val="63BC43AE"/>
    <w:rsid w:val="63BF07FD"/>
    <w:rsid w:val="63CF21D8"/>
    <w:rsid w:val="63DD44AB"/>
    <w:rsid w:val="64195E15"/>
    <w:rsid w:val="644F17C1"/>
    <w:rsid w:val="6459718C"/>
    <w:rsid w:val="648724EB"/>
    <w:rsid w:val="649615C4"/>
    <w:rsid w:val="64CD22E7"/>
    <w:rsid w:val="64D012D7"/>
    <w:rsid w:val="651965FD"/>
    <w:rsid w:val="65200DF3"/>
    <w:rsid w:val="65252AF2"/>
    <w:rsid w:val="655A6B81"/>
    <w:rsid w:val="655E6D60"/>
    <w:rsid w:val="658447AF"/>
    <w:rsid w:val="659323BF"/>
    <w:rsid w:val="65A268BE"/>
    <w:rsid w:val="65B01BB3"/>
    <w:rsid w:val="65EE10CF"/>
    <w:rsid w:val="66103425"/>
    <w:rsid w:val="662D15ED"/>
    <w:rsid w:val="66300E2E"/>
    <w:rsid w:val="665003BD"/>
    <w:rsid w:val="665C35C6"/>
    <w:rsid w:val="666171EE"/>
    <w:rsid w:val="66822730"/>
    <w:rsid w:val="6683497B"/>
    <w:rsid w:val="669B368E"/>
    <w:rsid w:val="66AE112C"/>
    <w:rsid w:val="66E81C9B"/>
    <w:rsid w:val="673622DE"/>
    <w:rsid w:val="674847DB"/>
    <w:rsid w:val="674E1AF4"/>
    <w:rsid w:val="678F1E6F"/>
    <w:rsid w:val="67DE76F7"/>
    <w:rsid w:val="684635AF"/>
    <w:rsid w:val="68820C54"/>
    <w:rsid w:val="68C340FF"/>
    <w:rsid w:val="68F040AC"/>
    <w:rsid w:val="6947241A"/>
    <w:rsid w:val="69815221"/>
    <w:rsid w:val="69850634"/>
    <w:rsid w:val="69A03009"/>
    <w:rsid w:val="69AA4FF2"/>
    <w:rsid w:val="69CB24C7"/>
    <w:rsid w:val="69F237DE"/>
    <w:rsid w:val="6A272557"/>
    <w:rsid w:val="6A30156A"/>
    <w:rsid w:val="6A6C7B62"/>
    <w:rsid w:val="6AAF2CBA"/>
    <w:rsid w:val="6AF7510C"/>
    <w:rsid w:val="6B32136D"/>
    <w:rsid w:val="6B482C03"/>
    <w:rsid w:val="6B6B341E"/>
    <w:rsid w:val="6BC4160E"/>
    <w:rsid w:val="6BC8761D"/>
    <w:rsid w:val="6BDE3350"/>
    <w:rsid w:val="6BEF7E78"/>
    <w:rsid w:val="6C1563AE"/>
    <w:rsid w:val="6C3A7EE3"/>
    <w:rsid w:val="6C65192D"/>
    <w:rsid w:val="6C7664E9"/>
    <w:rsid w:val="6CD33691"/>
    <w:rsid w:val="6D146FA7"/>
    <w:rsid w:val="6D391F91"/>
    <w:rsid w:val="6DA5112D"/>
    <w:rsid w:val="6DBC49C2"/>
    <w:rsid w:val="6DFA2FE9"/>
    <w:rsid w:val="6E2173EB"/>
    <w:rsid w:val="6E5A3A64"/>
    <w:rsid w:val="6E79608A"/>
    <w:rsid w:val="6E842329"/>
    <w:rsid w:val="6E8F09E3"/>
    <w:rsid w:val="6E9F67A5"/>
    <w:rsid w:val="6FA2221A"/>
    <w:rsid w:val="6FB23E0A"/>
    <w:rsid w:val="6FC000CF"/>
    <w:rsid w:val="6FF6336C"/>
    <w:rsid w:val="70022C01"/>
    <w:rsid w:val="700C35B5"/>
    <w:rsid w:val="700F4AAF"/>
    <w:rsid w:val="702538DF"/>
    <w:rsid w:val="702D5B8B"/>
    <w:rsid w:val="70326C7E"/>
    <w:rsid w:val="703B7419"/>
    <w:rsid w:val="70B1243C"/>
    <w:rsid w:val="70B84DFB"/>
    <w:rsid w:val="70BA662E"/>
    <w:rsid w:val="71096B80"/>
    <w:rsid w:val="711E70A6"/>
    <w:rsid w:val="71746737"/>
    <w:rsid w:val="719F3A13"/>
    <w:rsid w:val="71C50449"/>
    <w:rsid w:val="71CF1E56"/>
    <w:rsid w:val="71CF3B0B"/>
    <w:rsid w:val="71D05154"/>
    <w:rsid w:val="71E156D7"/>
    <w:rsid w:val="71E304FB"/>
    <w:rsid w:val="72284A2D"/>
    <w:rsid w:val="72521B90"/>
    <w:rsid w:val="728225E6"/>
    <w:rsid w:val="72902357"/>
    <w:rsid w:val="72A43043"/>
    <w:rsid w:val="72B364AC"/>
    <w:rsid w:val="72E465FC"/>
    <w:rsid w:val="73081CA0"/>
    <w:rsid w:val="732D775D"/>
    <w:rsid w:val="7345009B"/>
    <w:rsid w:val="73D05A4F"/>
    <w:rsid w:val="73E009F8"/>
    <w:rsid w:val="73EB35D2"/>
    <w:rsid w:val="73F15D51"/>
    <w:rsid w:val="74440B80"/>
    <w:rsid w:val="74664F4D"/>
    <w:rsid w:val="749C7105"/>
    <w:rsid w:val="74E77932"/>
    <w:rsid w:val="74F13ED1"/>
    <w:rsid w:val="75197D24"/>
    <w:rsid w:val="75616DB1"/>
    <w:rsid w:val="757A6B90"/>
    <w:rsid w:val="75CF2A2B"/>
    <w:rsid w:val="75D12359"/>
    <w:rsid w:val="75D6427E"/>
    <w:rsid w:val="76014659"/>
    <w:rsid w:val="76403412"/>
    <w:rsid w:val="76446400"/>
    <w:rsid w:val="766A5A07"/>
    <w:rsid w:val="769115A7"/>
    <w:rsid w:val="76AB17BF"/>
    <w:rsid w:val="76DD14F2"/>
    <w:rsid w:val="76E75071"/>
    <w:rsid w:val="77067CAE"/>
    <w:rsid w:val="770D4066"/>
    <w:rsid w:val="773D04A8"/>
    <w:rsid w:val="775B1EEC"/>
    <w:rsid w:val="77822AF7"/>
    <w:rsid w:val="77850FC4"/>
    <w:rsid w:val="77AB6819"/>
    <w:rsid w:val="783155B4"/>
    <w:rsid w:val="784D4CBF"/>
    <w:rsid w:val="785E002D"/>
    <w:rsid w:val="78AB5935"/>
    <w:rsid w:val="78BF373C"/>
    <w:rsid w:val="791825D4"/>
    <w:rsid w:val="79237BC5"/>
    <w:rsid w:val="79D624DA"/>
    <w:rsid w:val="7A1978D5"/>
    <w:rsid w:val="7A7C7D3D"/>
    <w:rsid w:val="7A8A52E7"/>
    <w:rsid w:val="7AF7509B"/>
    <w:rsid w:val="7B441D74"/>
    <w:rsid w:val="7BF91FA7"/>
    <w:rsid w:val="7C1143DB"/>
    <w:rsid w:val="7C75137E"/>
    <w:rsid w:val="7C8C2F9F"/>
    <w:rsid w:val="7CAC1EBE"/>
    <w:rsid w:val="7CCC5306"/>
    <w:rsid w:val="7CE83D5E"/>
    <w:rsid w:val="7CF95751"/>
    <w:rsid w:val="7CFE4E2A"/>
    <w:rsid w:val="7D013E4D"/>
    <w:rsid w:val="7D417B44"/>
    <w:rsid w:val="7D7A3C0F"/>
    <w:rsid w:val="7D916635"/>
    <w:rsid w:val="7DB50F00"/>
    <w:rsid w:val="7E104A77"/>
    <w:rsid w:val="7E2C4EF9"/>
    <w:rsid w:val="7E356B7F"/>
    <w:rsid w:val="7E6551B2"/>
    <w:rsid w:val="7E97032F"/>
    <w:rsid w:val="7E9F0651"/>
    <w:rsid w:val="7EAD125A"/>
    <w:rsid w:val="7EAE473D"/>
    <w:rsid w:val="7EFC2654"/>
    <w:rsid w:val="7F066215"/>
    <w:rsid w:val="7F433EF3"/>
    <w:rsid w:val="7F73588F"/>
    <w:rsid w:val="7FB369FD"/>
    <w:rsid w:val="7FBD44DD"/>
    <w:rsid w:val="7FD62159"/>
    <w:rsid w:val="7FDD2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99"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0"/>
      <w:jc w:val="both"/>
    </w:pPr>
    <w:rPr>
      <w:rFonts w:ascii="宋体" w:hAnsi="宋体" w:eastAsia="仿宋" w:cs="宋体"/>
      <w:color w:val="000000"/>
      <w:kern w:val="2"/>
      <w:sz w:val="24"/>
      <w:szCs w:val="22"/>
      <w:lang w:val="en-US" w:eastAsia="zh-CN" w:bidi="ar-SA"/>
    </w:rPr>
  </w:style>
  <w:style w:type="paragraph" w:styleId="4">
    <w:name w:val="heading 1"/>
    <w:basedOn w:val="1"/>
    <w:next w:val="1"/>
    <w:link w:val="35"/>
    <w:qFormat/>
    <w:uiPriority w:val="9"/>
    <w:pPr>
      <w:keepNext/>
      <w:keepLines/>
      <w:spacing w:line="576" w:lineRule="auto"/>
      <w:jc w:val="center"/>
      <w:outlineLvl w:val="0"/>
    </w:pPr>
    <w:rPr>
      <w:rFonts w:eastAsia="宋体"/>
      <w:b/>
      <w:kern w:val="44"/>
      <w:sz w:val="36"/>
    </w:rPr>
  </w:style>
  <w:style w:type="paragraph" w:styleId="5">
    <w:name w:val="heading 2"/>
    <w:basedOn w:val="1"/>
    <w:next w:val="1"/>
    <w:link w:val="36"/>
    <w:qFormat/>
    <w:uiPriority w:val="9"/>
    <w:pPr>
      <w:keepNext/>
      <w:keepLines/>
      <w:spacing w:before="260" w:after="260" w:line="416" w:lineRule="auto"/>
      <w:outlineLvl w:val="1"/>
    </w:pPr>
    <w:rPr>
      <w:rFonts w:ascii="Cambria" w:hAnsi="Cambria" w:eastAsia="宋体"/>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1"/>
    <w:qFormat/>
    <w:uiPriority w:val="0"/>
    <w:pPr>
      <w:spacing w:after="120"/>
    </w:pPr>
    <w:rPr>
      <w:kern w:val="0"/>
      <w:szCs w:val="21"/>
    </w:rPr>
  </w:style>
  <w:style w:type="paragraph" w:styleId="3">
    <w:name w:val="Body Text First Indent"/>
    <w:basedOn w:val="2"/>
    <w:qFormat/>
    <w:uiPriority w:val="0"/>
    <w:pPr>
      <w:ind w:firstLine="420" w:firstLineChars="100"/>
    </w:pPr>
    <w:rPr>
      <w:rFonts w:eastAsia="宋体"/>
    </w:rPr>
  </w:style>
  <w:style w:type="paragraph" w:styleId="6">
    <w:name w:val="Normal Indent"/>
    <w:basedOn w:val="1"/>
    <w:qFormat/>
    <w:uiPriority w:val="99"/>
    <w:pPr>
      <w:ind w:firstLine="420" w:firstLineChars="200"/>
    </w:pPr>
    <w:rPr>
      <w:kern w:val="0"/>
      <w:szCs w:val="20"/>
    </w:rPr>
  </w:style>
  <w:style w:type="paragraph" w:styleId="7">
    <w:name w:val="annotation text"/>
    <w:basedOn w:val="1"/>
    <w:qFormat/>
    <w:uiPriority w:val="99"/>
    <w:pPr>
      <w:jc w:val="left"/>
    </w:pPr>
  </w:style>
  <w:style w:type="paragraph" w:styleId="8">
    <w:name w:val="toc 3"/>
    <w:basedOn w:val="1"/>
    <w:next w:val="1"/>
    <w:qFormat/>
    <w:uiPriority w:val="39"/>
    <w:pPr>
      <w:widowControl/>
      <w:spacing w:after="100" w:line="276" w:lineRule="auto"/>
      <w:ind w:left="440" w:firstLine="0"/>
      <w:jc w:val="left"/>
    </w:pPr>
    <w:rPr>
      <w:rFonts w:ascii="Calibri" w:hAnsi="Calibri" w:eastAsia="宋体"/>
      <w:color w:val="auto"/>
      <w:kern w:val="0"/>
      <w:sz w:val="22"/>
    </w:rPr>
  </w:style>
  <w:style w:type="paragraph" w:styleId="9">
    <w:name w:val="Plain Text"/>
    <w:basedOn w:val="1"/>
    <w:qFormat/>
    <w:uiPriority w:val="0"/>
    <w:rPr>
      <w:rFonts w:hAnsi="Courier New"/>
      <w:szCs w:val="20"/>
    </w:rPr>
  </w:style>
  <w:style w:type="paragraph" w:styleId="10">
    <w:name w:val="Date"/>
    <w:basedOn w:val="1"/>
    <w:next w:val="1"/>
    <w:link w:val="44"/>
    <w:qFormat/>
    <w:uiPriority w:val="99"/>
    <w:pPr>
      <w:ind w:left="100" w:leftChars="2500"/>
    </w:pPr>
  </w:style>
  <w:style w:type="paragraph" w:styleId="11">
    <w:name w:val="Balloon Text"/>
    <w:basedOn w:val="1"/>
    <w:link w:val="37"/>
    <w:qFormat/>
    <w:uiPriority w:val="99"/>
    <w:pPr>
      <w:spacing w:line="240" w:lineRule="auto"/>
    </w:pPr>
    <w:rPr>
      <w:sz w:val="18"/>
      <w:szCs w:val="18"/>
    </w:rPr>
  </w:style>
  <w:style w:type="paragraph" w:styleId="12">
    <w:name w:val="footer"/>
    <w:basedOn w:val="1"/>
    <w:link w:val="34"/>
    <w:qFormat/>
    <w:uiPriority w:val="99"/>
    <w:pPr>
      <w:tabs>
        <w:tab w:val="center" w:pos="4153"/>
        <w:tab w:val="right" w:pos="8306"/>
      </w:tabs>
      <w:snapToGrid w:val="0"/>
      <w:jc w:val="left"/>
    </w:pPr>
    <w:rPr>
      <w:sz w:val="18"/>
      <w:szCs w:val="18"/>
    </w:rPr>
  </w:style>
  <w:style w:type="paragraph" w:styleId="13">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Subtitle"/>
    <w:basedOn w:val="1"/>
    <w:next w:val="1"/>
    <w:link w:val="58"/>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16">
    <w:name w:val="toc 2"/>
    <w:basedOn w:val="1"/>
    <w:next w:val="1"/>
    <w:qFormat/>
    <w:uiPriority w:val="39"/>
    <w:pPr>
      <w:tabs>
        <w:tab w:val="right" w:leader="dot" w:pos="8296"/>
      </w:tabs>
      <w:ind w:firstLine="0"/>
    </w:pPr>
  </w:style>
  <w:style w:type="paragraph" w:styleId="17">
    <w:name w:val="Normal (Web)"/>
    <w:basedOn w:val="1"/>
    <w:qFormat/>
    <w:uiPriority w:val="0"/>
    <w:pPr>
      <w:widowControl/>
      <w:spacing w:before="100" w:beforeAutospacing="1" w:after="100" w:afterAutospacing="1" w:line="240" w:lineRule="auto"/>
      <w:ind w:firstLine="0"/>
      <w:jc w:val="left"/>
    </w:pPr>
    <w:rPr>
      <w:rFonts w:eastAsia="宋体"/>
      <w:color w:val="auto"/>
      <w:kern w:val="0"/>
      <w:szCs w:val="24"/>
    </w:rPr>
  </w:style>
  <w:style w:type="paragraph" w:styleId="18">
    <w:name w:val="Title"/>
    <w:basedOn w:val="1"/>
    <w:next w:val="1"/>
    <w:link w:val="57"/>
    <w:qFormat/>
    <w:uiPriority w:val="10"/>
    <w:pPr>
      <w:spacing w:before="60" w:after="60"/>
      <w:jc w:val="center"/>
      <w:outlineLvl w:val="0"/>
    </w:pPr>
    <w:rPr>
      <w:rFonts w:ascii="Cambria" w:hAnsi="Cambria" w:cs="Times New Roman"/>
      <w:b/>
      <w:bCs/>
      <w:szCs w:val="32"/>
    </w:rPr>
  </w:style>
  <w:style w:type="table" w:styleId="20">
    <w:name w:val="Table Grid"/>
    <w:basedOn w:val="19"/>
    <w:qFormat/>
    <w:uiPriority w:val="59"/>
    <w:rPr>
      <w:rFonts w:ascii="Calibri" w:hAnsi="Calibri" w:cs="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FollowedHyperlink"/>
    <w:basedOn w:val="21"/>
    <w:qFormat/>
    <w:uiPriority w:val="99"/>
    <w:rPr>
      <w:color w:val="333333"/>
      <w:u w:val="none"/>
    </w:rPr>
  </w:style>
  <w:style w:type="character" w:styleId="24">
    <w:name w:val="Emphasis"/>
    <w:basedOn w:val="21"/>
    <w:qFormat/>
    <w:uiPriority w:val="20"/>
  </w:style>
  <w:style w:type="character" w:styleId="25">
    <w:name w:val="HTML Definition"/>
    <w:basedOn w:val="21"/>
    <w:qFormat/>
    <w:uiPriority w:val="99"/>
  </w:style>
  <w:style w:type="character" w:styleId="26">
    <w:name w:val="HTML Variable"/>
    <w:basedOn w:val="21"/>
    <w:qFormat/>
    <w:uiPriority w:val="99"/>
  </w:style>
  <w:style w:type="character" w:styleId="27">
    <w:name w:val="Hyperlink"/>
    <w:qFormat/>
    <w:uiPriority w:val="99"/>
    <w:rPr>
      <w:color w:val="0000FF"/>
      <w:u w:val="single"/>
    </w:rPr>
  </w:style>
  <w:style w:type="character" w:styleId="28">
    <w:name w:val="HTML Code"/>
    <w:basedOn w:val="21"/>
    <w:qFormat/>
    <w:uiPriority w:val="99"/>
    <w:rPr>
      <w:rFonts w:ascii="Courier New" w:hAnsi="Courier New"/>
      <w:sz w:val="20"/>
    </w:rPr>
  </w:style>
  <w:style w:type="character" w:styleId="29">
    <w:name w:val="HTML Cite"/>
    <w:basedOn w:val="21"/>
    <w:qFormat/>
    <w:uiPriority w:val="99"/>
  </w:style>
  <w:style w:type="paragraph" w:customStyle="1" w:styleId="30">
    <w:name w:val="标题 5（有编号）（绿盟科技）"/>
    <w:basedOn w:val="1"/>
    <w:next w:val="31"/>
    <w:qFormat/>
    <w:uiPriority w:val="99"/>
    <w:pPr>
      <w:keepNext/>
      <w:keepLines/>
      <w:numPr>
        <w:ilvl w:val="4"/>
        <w:numId w:val="1"/>
      </w:numPr>
      <w:spacing w:before="280" w:after="156" w:line="376" w:lineRule="auto"/>
      <w:jc w:val="left"/>
      <w:outlineLvl w:val="4"/>
    </w:pPr>
    <w:rPr>
      <w:rFonts w:ascii="Arial" w:hAnsi="Arial" w:eastAsia="黑体"/>
      <w:b/>
      <w:kern w:val="0"/>
      <w:sz w:val="34"/>
      <w:szCs w:val="28"/>
    </w:rPr>
  </w:style>
  <w:style w:type="paragraph" w:customStyle="1" w:styleId="31">
    <w:name w:val="正文（绿盟科技）"/>
    <w:basedOn w:val="1"/>
    <w:qFormat/>
    <w:uiPriority w:val="99"/>
    <w:pPr>
      <w:widowControl/>
      <w:spacing w:line="300" w:lineRule="auto"/>
      <w:jc w:val="left"/>
    </w:pPr>
    <w:rPr>
      <w:rFonts w:ascii="Arial" w:hAnsi="Arial"/>
      <w:kern w:val="0"/>
      <w:szCs w:val="21"/>
    </w:rPr>
  </w:style>
  <w:style w:type="paragraph" w:customStyle="1" w:styleId="32">
    <w:name w:val="无间隔1"/>
    <w:basedOn w:val="1"/>
    <w:qFormat/>
    <w:uiPriority w:val="1"/>
    <w:pPr>
      <w:spacing w:line="400" w:lineRule="exact"/>
    </w:pPr>
    <w:rPr>
      <w:rFonts w:eastAsia="宋体"/>
    </w:rPr>
  </w:style>
  <w:style w:type="character" w:customStyle="1" w:styleId="33">
    <w:name w:val="页眉 Char"/>
    <w:basedOn w:val="21"/>
    <w:link w:val="13"/>
    <w:qFormat/>
    <w:uiPriority w:val="99"/>
    <w:rPr>
      <w:sz w:val="18"/>
      <w:szCs w:val="18"/>
    </w:rPr>
  </w:style>
  <w:style w:type="character" w:customStyle="1" w:styleId="34">
    <w:name w:val="页脚 Char"/>
    <w:basedOn w:val="21"/>
    <w:link w:val="12"/>
    <w:qFormat/>
    <w:uiPriority w:val="99"/>
    <w:rPr>
      <w:sz w:val="18"/>
      <w:szCs w:val="18"/>
    </w:rPr>
  </w:style>
  <w:style w:type="character" w:customStyle="1" w:styleId="35">
    <w:name w:val="标题 1 Char"/>
    <w:basedOn w:val="21"/>
    <w:link w:val="4"/>
    <w:qFormat/>
    <w:uiPriority w:val="9"/>
    <w:rPr>
      <w:rFonts w:cs="宋体"/>
      <w:b/>
      <w:color w:val="000000"/>
      <w:kern w:val="44"/>
      <w:sz w:val="36"/>
      <w:szCs w:val="22"/>
    </w:rPr>
  </w:style>
  <w:style w:type="character" w:customStyle="1" w:styleId="36">
    <w:name w:val="标题 2 Char"/>
    <w:basedOn w:val="21"/>
    <w:link w:val="5"/>
    <w:qFormat/>
    <w:uiPriority w:val="9"/>
    <w:rPr>
      <w:rFonts w:ascii="Cambria" w:hAnsi="Cambria" w:eastAsia="宋体" w:cs="宋体"/>
      <w:b/>
      <w:bCs/>
      <w:color w:val="000000"/>
      <w:sz w:val="32"/>
      <w:szCs w:val="32"/>
    </w:rPr>
  </w:style>
  <w:style w:type="character" w:customStyle="1" w:styleId="37">
    <w:name w:val="批注框文本 Char"/>
    <w:basedOn w:val="21"/>
    <w:link w:val="11"/>
    <w:qFormat/>
    <w:uiPriority w:val="99"/>
    <w:rPr>
      <w:rFonts w:eastAsia="仿宋" w:cs="宋体"/>
      <w:color w:val="000000"/>
      <w:sz w:val="18"/>
      <w:szCs w:val="18"/>
    </w:rPr>
  </w:style>
  <w:style w:type="paragraph" w:styleId="38">
    <w:name w:val="List Paragraph"/>
    <w:basedOn w:val="1"/>
    <w:qFormat/>
    <w:uiPriority w:val="34"/>
    <w:pPr>
      <w:ind w:firstLine="420" w:firstLineChars="200"/>
    </w:pPr>
  </w:style>
  <w:style w:type="paragraph" w:styleId="39">
    <w:name w:val="No Spacing"/>
    <w:qFormat/>
    <w:uiPriority w:val="1"/>
    <w:pPr>
      <w:widowControl w:val="0"/>
      <w:ind w:firstLine="480"/>
      <w:jc w:val="both"/>
    </w:pPr>
    <w:rPr>
      <w:rFonts w:ascii="宋体" w:hAnsi="宋体" w:eastAsia="仿宋" w:cs="宋体"/>
      <w:color w:val="000000"/>
      <w:kern w:val="2"/>
      <w:sz w:val="24"/>
      <w:szCs w:val="22"/>
      <w:lang w:val="en-US" w:eastAsia="zh-CN" w:bidi="ar-SA"/>
    </w:rPr>
  </w:style>
  <w:style w:type="paragraph" w:customStyle="1" w:styleId="40">
    <w:name w:val="修订1"/>
    <w:qFormat/>
    <w:uiPriority w:val="99"/>
    <w:rPr>
      <w:rFonts w:ascii="宋体" w:hAnsi="宋体" w:eastAsia="仿宋" w:cs="宋体"/>
      <w:color w:val="000000"/>
      <w:kern w:val="2"/>
      <w:sz w:val="24"/>
      <w:szCs w:val="22"/>
      <w:lang w:val="en-US" w:eastAsia="zh-CN" w:bidi="ar-SA"/>
    </w:rPr>
  </w:style>
  <w:style w:type="paragraph" w:customStyle="1" w:styleId="41">
    <w:name w:val="样式 首行缩进:  2 字符"/>
    <w:basedOn w:val="1"/>
    <w:qFormat/>
    <w:uiPriority w:val="0"/>
    <w:pPr>
      <w:spacing w:line="400" w:lineRule="exact"/>
      <w:ind w:firstLine="200" w:firstLineChars="200"/>
    </w:pPr>
    <w:rPr>
      <w:rFonts w:ascii="Times New Roman" w:hAnsi="Times New Roman" w:eastAsia="宋体" w:cs="Times New Roman"/>
      <w:color w:val="auto"/>
      <w:szCs w:val="20"/>
    </w:rPr>
  </w:style>
  <w:style w:type="paragraph" w:customStyle="1" w:styleId="42">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3">
    <w:name w:val="页码1"/>
    <w:qFormat/>
    <w:uiPriority w:val="0"/>
    <w:rPr>
      <w:rFonts w:cs="Times New Roman"/>
    </w:rPr>
  </w:style>
  <w:style w:type="character" w:customStyle="1" w:styleId="44">
    <w:name w:val="日期 Char"/>
    <w:basedOn w:val="21"/>
    <w:link w:val="10"/>
    <w:qFormat/>
    <w:uiPriority w:val="99"/>
    <w:rPr>
      <w:rFonts w:eastAsia="仿宋" w:cs="宋体"/>
      <w:color w:val="000000"/>
      <w:sz w:val="24"/>
      <w:szCs w:val="22"/>
    </w:rPr>
  </w:style>
  <w:style w:type="paragraph" w:customStyle="1" w:styleId="45">
    <w:name w:val="TOC 标题1"/>
    <w:basedOn w:val="4"/>
    <w:next w:val="1"/>
    <w:qFormat/>
    <w:uiPriority w:val="39"/>
    <w:pPr>
      <w:widowControl/>
      <w:spacing w:before="480" w:line="276" w:lineRule="auto"/>
      <w:ind w:firstLine="0"/>
      <w:jc w:val="left"/>
      <w:outlineLvl w:val="9"/>
    </w:pPr>
    <w:rPr>
      <w:rFonts w:ascii="Cambria" w:hAnsi="Cambria"/>
      <w:bCs/>
      <w:color w:val="365F91"/>
      <w:kern w:val="0"/>
      <w:sz w:val="28"/>
      <w:szCs w:val="28"/>
    </w:rPr>
  </w:style>
  <w:style w:type="paragraph" w:customStyle="1" w:styleId="46">
    <w:name w:val="正文首行缩进两字符"/>
    <w:basedOn w:val="1"/>
    <w:qFormat/>
    <w:uiPriority w:val="99"/>
    <w:pPr>
      <w:ind w:firstLine="200" w:firstLineChars="200"/>
    </w:pPr>
  </w:style>
  <w:style w:type="character" w:customStyle="1" w:styleId="47">
    <w:name w:val="hover13"/>
    <w:basedOn w:val="21"/>
    <w:qFormat/>
    <w:uiPriority w:val="0"/>
    <w:rPr>
      <w:rFonts w:ascii="微软雅黑" w:hAnsi="微软雅黑" w:eastAsia="微软雅黑" w:cs="微软雅黑"/>
      <w:color w:val="FFFFFF"/>
      <w:sz w:val="24"/>
      <w:szCs w:val="24"/>
    </w:rPr>
  </w:style>
  <w:style w:type="character" w:customStyle="1" w:styleId="48">
    <w:name w:val="hover14"/>
    <w:basedOn w:val="21"/>
    <w:qFormat/>
    <w:uiPriority w:val="0"/>
    <w:rPr>
      <w:rFonts w:ascii="微软雅黑" w:hAnsi="微软雅黑" w:eastAsia="微软雅黑" w:cs="微软雅黑"/>
      <w:color w:val="FFFFFF"/>
      <w:sz w:val="24"/>
      <w:szCs w:val="24"/>
    </w:rPr>
  </w:style>
  <w:style w:type="paragraph" w:customStyle="1" w:styleId="4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0">
    <w:name w:val="TOC 标题2"/>
    <w:basedOn w:val="4"/>
    <w:next w:val="1"/>
    <w:qFormat/>
    <w:uiPriority w:val="39"/>
    <w:pPr>
      <w:widowControl/>
      <w:spacing w:before="480" w:line="276" w:lineRule="auto"/>
      <w:ind w:firstLine="0"/>
      <w:jc w:val="left"/>
      <w:outlineLvl w:val="9"/>
    </w:pPr>
    <w:rPr>
      <w:rFonts w:ascii="Cambria" w:hAnsi="Cambria"/>
      <w:bCs/>
      <w:color w:val="365F91"/>
      <w:kern w:val="0"/>
      <w:sz w:val="28"/>
      <w:szCs w:val="28"/>
    </w:rPr>
  </w:style>
  <w:style w:type="character" w:customStyle="1" w:styleId="51">
    <w:name w:val="正文文本 Char"/>
    <w:basedOn w:val="21"/>
    <w:link w:val="2"/>
    <w:qFormat/>
    <w:uiPriority w:val="0"/>
    <w:rPr>
      <w:kern w:val="2"/>
      <w:sz w:val="21"/>
      <w:szCs w:val="24"/>
    </w:rPr>
  </w:style>
  <w:style w:type="character" w:customStyle="1" w:styleId="52">
    <w:name w:val="c-icon14"/>
    <w:basedOn w:val="21"/>
    <w:qFormat/>
    <w:uiPriority w:val="0"/>
  </w:style>
  <w:style w:type="paragraph" w:customStyle="1" w:styleId="53">
    <w:name w:val="WPSOffice手动目录 1"/>
    <w:qFormat/>
    <w:uiPriority w:val="0"/>
    <w:rPr>
      <w:rFonts w:ascii="Times New Roman" w:hAnsi="Times New Roman" w:eastAsia="宋体" w:cs="Times New Roman"/>
      <w:lang w:val="en-US" w:eastAsia="zh-CN" w:bidi="ar-SA"/>
    </w:rPr>
  </w:style>
  <w:style w:type="paragraph" w:customStyle="1" w:styleId="54">
    <w:name w:val="09正文_wh"/>
    <w:qFormat/>
    <w:uiPriority w:val="0"/>
    <w:pPr>
      <w:spacing w:line="300" w:lineRule="auto"/>
      <w:ind w:firstLine="200" w:firstLineChars="200"/>
      <w:jc w:val="both"/>
    </w:pPr>
    <w:rPr>
      <w:rFonts w:ascii="Calibri" w:hAnsi="Calibri" w:eastAsia="宋体" w:cs="Times New Roman"/>
      <w:kern w:val="2"/>
      <w:sz w:val="28"/>
      <w:szCs w:val="24"/>
      <w:lang w:val="en-US" w:eastAsia="zh-CN" w:bidi="ar-SA"/>
    </w:rPr>
  </w:style>
  <w:style w:type="paragraph" w:customStyle="1" w:styleId="55">
    <w:name w:val="p0"/>
    <w:basedOn w:val="1"/>
    <w:qFormat/>
    <w:uiPriority w:val="0"/>
    <w:pPr>
      <w:jc w:val="both"/>
    </w:pPr>
    <w:rPr>
      <w:rFonts w:ascii="Times New Roman" w:hAnsi="Times New Roman" w:cs="Times New Roman"/>
      <w:sz w:val="21"/>
      <w:szCs w:val="21"/>
    </w:rPr>
  </w:style>
  <w:style w:type="character" w:customStyle="1" w:styleId="56">
    <w:name w:val="15"/>
    <w:qFormat/>
    <w:uiPriority w:val="0"/>
    <w:rPr>
      <w:rFonts w:hint="default" w:ascii="Times New Roman" w:hAnsi="Times New Roman" w:cs="Times New Roman"/>
      <w:color w:val="464445"/>
      <w:u w:val="none"/>
    </w:rPr>
  </w:style>
  <w:style w:type="character" w:customStyle="1" w:styleId="57">
    <w:name w:val="标题 Char"/>
    <w:link w:val="18"/>
    <w:qFormat/>
    <w:uiPriority w:val="10"/>
    <w:rPr>
      <w:rFonts w:ascii="Cambria" w:hAnsi="Cambria" w:cs="Times New Roman"/>
      <w:b/>
      <w:bCs/>
      <w:szCs w:val="32"/>
    </w:rPr>
  </w:style>
  <w:style w:type="character" w:customStyle="1" w:styleId="58">
    <w:name w:val="副标题 Char"/>
    <w:link w:val="15"/>
    <w:qFormat/>
    <w:uiPriority w:val="11"/>
    <w:rPr>
      <w:rFonts w:ascii="Cambria" w:hAnsi="Cambria" w:eastAsiaTheme="minorEastAsia" w:cstheme="minorBidi"/>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5168E7-4771-48AB-8BBC-7DCAF3353E5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42</Pages>
  <Words>15087</Words>
  <Characters>15963</Characters>
  <Lines>103</Lines>
  <Paragraphs>29</Paragraphs>
  <TotalTime>2</TotalTime>
  <ScaleCrop>false</ScaleCrop>
  <LinksUpToDate>false</LinksUpToDate>
  <CharactersWithSpaces>17363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2019-01-21T00:40:00Z</dcterms:created>
  <dc:creator>微软用户</dc:creator>
  <cp:lastModifiedBy>软</cp:lastModifiedBy>
  <cp:lastPrinted>2021-01-21T06:02:00Z</cp:lastPrinted>
  <dcterms:modified xsi:type="dcterms:W3CDTF">2022-04-21T01:31:12Z</dcterms:modified>
  <cp:revision>642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01986B6415C44CD19D7CE0265AB84768</vt:lpwstr>
  </property>
  <property fmtid="{D5CDD505-2E9C-101B-9397-08002B2CF9AE}" pid="4" name="commondata">
    <vt:lpwstr>eyJoZGlkIjoiMWVhOTkxZjc1ZjlkZWQwOTk3YzdkZmU2YjM1NDA4YzcifQ==</vt:lpwstr>
  </property>
</Properties>
</file>